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015" w14:textId="3AA6DA19" w:rsidR="00384B1B" w:rsidRPr="009233AE" w:rsidRDefault="006D1453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7D6EFA">
        <w:rPr>
          <w:b/>
          <w:sz w:val="22"/>
          <w:szCs w:val="22"/>
        </w:rPr>
        <w:t>2</w:t>
      </w:r>
      <w:r w:rsidR="004E63A4">
        <w:rPr>
          <w:b/>
          <w:sz w:val="22"/>
          <w:szCs w:val="22"/>
        </w:rPr>
        <w:t>4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0EA41582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0A31C4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If I should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take more classes or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>drop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 (withdraw)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from classes my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taxable tuition benefit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will be </w:t>
      </w:r>
      <w:r w:rsidR="00F92F5B" w:rsidRPr="00757FE4">
        <w:rPr>
          <w:b/>
          <w:bCs/>
          <w:color w:val="000000" w:themeColor="text1"/>
          <w:sz w:val="20"/>
          <w:szCs w:val="20"/>
          <w:u w:val="single"/>
        </w:rPr>
        <w:t>adjusted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>, which could result in significantly higher (or lower) withholdings</w:t>
      </w:r>
      <w:r w:rsidRPr="00757FE4">
        <w:rPr>
          <w:color w:val="000000" w:themeColor="text1"/>
          <w:sz w:val="20"/>
          <w:szCs w:val="20"/>
        </w:rPr>
        <w:t xml:space="preserve">.  </w:t>
      </w:r>
      <w:r w:rsidRPr="0012239E">
        <w:rPr>
          <w:sz w:val="20"/>
          <w:szCs w:val="20"/>
        </w:rPr>
        <w:t xml:space="preserve">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</w:t>
      </w:r>
      <w:proofErr w:type="spellStart"/>
      <w:r w:rsidR="009233AE">
        <w:rPr>
          <w:sz w:val="20"/>
          <w:szCs w:val="20"/>
        </w:rPr>
        <w:t>Oasdi</w:t>
      </w:r>
      <w:proofErr w:type="spellEnd"/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757FE4">
        <w:rPr>
          <w:sz w:val="20"/>
          <w:szCs w:val="20"/>
        </w:rPr>
        <w:t>4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64599662" w:rsidR="006B792A" w:rsidRPr="00FD73C4" w:rsidRDefault="00EA1BC3" w:rsidP="008F7AB7">
      <w:pPr>
        <w:jc w:val="both"/>
        <w:rPr>
          <w:b/>
          <w:sz w:val="20"/>
          <w:szCs w:val="20"/>
          <w:u w:val="single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757FE4">
        <w:rPr>
          <w:sz w:val="20"/>
          <w:szCs w:val="20"/>
        </w:rPr>
        <w:t>4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2B2DAC">
        <w:rPr>
          <w:b/>
          <w:sz w:val="20"/>
          <w:szCs w:val="20"/>
          <w:u w:val="single"/>
        </w:rPr>
        <w:t>It is the employee’s responsibility to</w:t>
      </w:r>
      <w:r w:rsidR="008E7034" w:rsidRPr="002B2DAC">
        <w:rPr>
          <w:b/>
          <w:sz w:val="20"/>
          <w:szCs w:val="20"/>
          <w:u w:val="single"/>
        </w:rPr>
        <w:t xml:space="preserve"> circle the </w:t>
      </w:r>
      <w:r w:rsidR="00E87A6B" w:rsidRPr="002B2DAC">
        <w:rPr>
          <w:b/>
          <w:sz w:val="20"/>
          <w:szCs w:val="20"/>
          <w:u w:val="single"/>
        </w:rPr>
        <w:t xml:space="preserve">correct program </w:t>
      </w:r>
      <w:r w:rsidR="004E63A4" w:rsidRPr="002B2DAC">
        <w:rPr>
          <w:b/>
          <w:sz w:val="20"/>
          <w:szCs w:val="20"/>
          <w:u w:val="single"/>
        </w:rPr>
        <w:t xml:space="preserve">and credit hours </w:t>
      </w:r>
      <w:r w:rsidR="00E87A6B" w:rsidRPr="002B2DAC">
        <w:rPr>
          <w:b/>
          <w:sz w:val="20"/>
          <w:szCs w:val="20"/>
          <w:u w:val="single"/>
        </w:rPr>
        <w:t xml:space="preserve">on this form as the Benefits Office </w:t>
      </w:r>
      <w:r w:rsidR="008E7034" w:rsidRPr="002B2DAC">
        <w:rPr>
          <w:b/>
          <w:sz w:val="20"/>
          <w:szCs w:val="20"/>
          <w:u w:val="single"/>
        </w:rPr>
        <w:t xml:space="preserve">does not double check your student enrollment </w:t>
      </w:r>
      <w:r w:rsidR="006351D4" w:rsidRPr="002B2DAC">
        <w:rPr>
          <w:b/>
          <w:sz w:val="20"/>
          <w:szCs w:val="20"/>
          <w:u w:val="single"/>
        </w:rPr>
        <w:t xml:space="preserve">records </w:t>
      </w:r>
      <w:r w:rsidR="008E7034" w:rsidRPr="002B2DAC">
        <w:rPr>
          <w:b/>
          <w:sz w:val="20"/>
          <w:szCs w:val="20"/>
          <w:u w:val="single"/>
        </w:rPr>
        <w:t>when this form is received</w:t>
      </w:r>
      <w:r w:rsidR="008F7AB7" w:rsidRPr="002B2DAC">
        <w:rPr>
          <w:b/>
          <w:sz w:val="20"/>
          <w:szCs w:val="20"/>
          <w:u w:val="single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482EFCB3" w:rsidR="00D9380A" w:rsidRPr="004E63A4" w:rsidRDefault="004E4D64" w:rsidP="003831E6">
      <w:pPr>
        <w:rPr>
          <w:b/>
          <w:color w:val="FF0000"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8F7AB7" w:rsidRPr="004E63A4">
        <w:rPr>
          <w:b/>
          <w:color w:val="FF0000"/>
          <w:sz w:val="22"/>
          <w:szCs w:val="22"/>
          <w:highlight w:val="yellow"/>
        </w:rPr>
        <w:t>20</w:t>
      </w:r>
      <w:r w:rsidR="00F92F5B" w:rsidRPr="004E63A4">
        <w:rPr>
          <w:b/>
          <w:color w:val="FF0000"/>
          <w:sz w:val="22"/>
          <w:szCs w:val="22"/>
          <w:highlight w:val="yellow"/>
        </w:rPr>
        <w:t>2</w:t>
      </w:r>
      <w:r w:rsidR="004E63A4">
        <w:rPr>
          <w:b/>
          <w:color w:val="FF0000"/>
          <w:sz w:val="22"/>
          <w:szCs w:val="22"/>
          <w:highlight w:val="yellow"/>
        </w:rPr>
        <w:t>4</w:t>
      </w:r>
      <w:r w:rsidR="003831E6" w:rsidRPr="004E63A4">
        <w:rPr>
          <w:b/>
          <w:color w:val="FF0000"/>
          <w:sz w:val="22"/>
          <w:szCs w:val="22"/>
          <w:highlight w:val="yellow"/>
        </w:rPr>
        <w:t xml:space="preserve"> Calendar Year</w:t>
      </w:r>
      <w:r w:rsidR="003831E6" w:rsidRPr="004E63A4">
        <w:rPr>
          <w:b/>
          <w:color w:val="FF0000"/>
          <w:sz w:val="22"/>
          <w:szCs w:val="22"/>
        </w:rPr>
        <w:t>.</w:t>
      </w:r>
    </w:p>
    <w:p w14:paraId="547D194F" w14:textId="77777777" w:rsidR="00F81269" w:rsidRPr="004E63A4" w:rsidRDefault="00F81269" w:rsidP="006B792A">
      <w:pPr>
        <w:rPr>
          <w:b/>
          <w:color w:val="FF0000"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5B7B3351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2,250</w:t>
      </w:r>
      <w:proofErr w:type="gramStart"/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</w:r>
      <w:proofErr w:type="gramEnd"/>
      <w:r w:rsidR="00163105">
        <w:rPr>
          <w:sz w:val="22"/>
          <w:szCs w:val="22"/>
        </w:rPr>
        <w:t>$</w:t>
      </w:r>
      <w:r w:rsidR="00276B9B">
        <w:rPr>
          <w:sz w:val="22"/>
          <w:szCs w:val="22"/>
        </w:rPr>
        <w:t>6,000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276B9B">
        <w:rPr>
          <w:sz w:val="22"/>
          <w:szCs w:val="22"/>
        </w:rPr>
        <w:t>9,750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276B9B">
        <w:rPr>
          <w:sz w:val="22"/>
          <w:szCs w:val="22"/>
        </w:rPr>
        <w:t>13</w:t>
      </w:r>
      <w:r w:rsidR="00531707">
        <w:rPr>
          <w:sz w:val="22"/>
          <w:szCs w:val="22"/>
        </w:rPr>
        <w:t>,500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531707">
        <w:rPr>
          <w:sz w:val="22"/>
          <w:szCs w:val="22"/>
        </w:rPr>
        <w:t>17,250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72F49D14" w14:textId="3EB36934" w:rsidR="00D76456" w:rsidRPr="00F81269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531707">
        <w:rPr>
          <w:sz w:val="22"/>
          <w:szCs w:val="22"/>
        </w:rPr>
        <w:t>2,790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531707">
        <w:rPr>
          <w:sz w:val="22"/>
          <w:szCs w:val="22"/>
        </w:rPr>
        <w:t>6,810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531707">
        <w:rPr>
          <w:sz w:val="22"/>
          <w:szCs w:val="22"/>
        </w:rPr>
        <w:t>10,830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531707">
        <w:rPr>
          <w:sz w:val="22"/>
          <w:szCs w:val="22"/>
        </w:rPr>
        <w:t>14,850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E05A5F">
        <w:rPr>
          <w:sz w:val="22"/>
          <w:szCs w:val="22"/>
        </w:rPr>
        <w:t>18,870</w:t>
      </w:r>
      <w:r w:rsidR="00403424">
        <w:rPr>
          <w:sz w:val="22"/>
          <w:szCs w:val="22"/>
        </w:rPr>
        <w:tab/>
      </w:r>
    </w:p>
    <w:p w14:paraId="7CE03BAB" w14:textId="35C333A9" w:rsidR="008B5AD4" w:rsidRPr="00F81269" w:rsidRDefault="008B5AD4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Social Service </w:t>
      </w:r>
      <w:r w:rsidR="00C200AD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$</w:t>
      </w:r>
      <w:r w:rsidR="00A12FE0">
        <w:rPr>
          <w:sz w:val="22"/>
          <w:szCs w:val="22"/>
        </w:rPr>
        <w:t xml:space="preserve">750                  $3,750                $6,750              $9,750               </w:t>
      </w:r>
      <w:r w:rsidR="0069395F">
        <w:rPr>
          <w:sz w:val="22"/>
          <w:szCs w:val="22"/>
        </w:rPr>
        <w:t>$12,750</w:t>
      </w:r>
    </w:p>
    <w:p w14:paraId="545D8066" w14:textId="0B6CBAD5" w:rsidR="004A660E" w:rsidRDefault="004A660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Nursing                                                    $</w:t>
      </w:r>
      <w:r w:rsidR="000232D9">
        <w:rPr>
          <w:sz w:val="22"/>
          <w:szCs w:val="22"/>
        </w:rPr>
        <w:t>2,190               $5,910                 $</w:t>
      </w:r>
      <w:r w:rsidR="00B052BC">
        <w:rPr>
          <w:sz w:val="22"/>
          <w:szCs w:val="22"/>
        </w:rPr>
        <w:t>9,630              $13,350              $17,070</w:t>
      </w:r>
    </w:p>
    <w:p w14:paraId="4DE02868" w14:textId="143BC767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69395F">
        <w:rPr>
          <w:sz w:val="22"/>
          <w:szCs w:val="22"/>
        </w:rPr>
        <w:t>4,170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8,880</w:t>
      </w:r>
      <w:r w:rsidR="00F961DE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13,590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18,300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23,010</w:t>
      </w:r>
    </w:p>
    <w:p w14:paraId="2B7B0808" w14:textId="13515713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6833F3">
        <w:rPr>
          <w:sz w:val="22"/>
          <w:szCs w:val="22"/>
        </w:rPr>
        <w:t>2,610</w:t>
      </w:r>
      <w:r>
        <w:rPr>
          <w:sz w:val="22"/>
          <w:szCs w:val="22"/>
        </w:rPr>
        <w:t xml:space="preserve"> </w:t>
      </w:r>
      <w:proofErr w:type="gramStart"/>
      <w:r w:rsidR="00D7049F">
        <w:rPr>
          <w:sz w:val="22"/>
          <w:szCs w:val="22"/>
        </w:rPr>
        <w:tab/>
      </w:r>
      <w:r w:rsidR="00A91A8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="00D9380A" w:rsidRPr="00F81269">
        <w:rPr>
          <w:sz w:val="22"/>
          <w:szCs w:val="22"/>
        </w:rPr>
        <w:t>$</w:t>
      </w:r>
      <w:r w:rsidR="009A7398">
        <w:rPr>
          <w:sz w:val="22"/>
          <w:szCs w:val="22"/>
        </w:rPr>
        <w:t>6</w:t>
      </w:r>
      <w:r w:rsidR="006833F3">
        <w:rPr>
          <w:sz w:val="22"/>
          <w:szCs w:val="22"/>
        </w:rPr>
        <w:t>,540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</w:t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10,470</w:t>
      </w:r>
      <w:r w:rsidR="00163105">
        <w:rPr>
          <w:sz w:val="22"/>
          <w:szCs w:val="22"/>
        </w:rPr>
        <w:t xml:space="preserve">  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14,400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18,330</w:t>
      </w:r>
    </w:p>
    <w:p w14:paraId="730EF1C4" w14:textId="47D3051C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8,430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proofErr w:type="gramStart"/>
      <w:r w:rsidR="006833F3">
        <w:rPr>
          <w:sz w:val="22"/>
          <w:szCs w:val="22"/>
        </w:rPr>
        <w:t>12,280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</w:r>
      <w:proofErr w:type="gramEnd"/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7E79B7">
        <w:rPr>
          <w:sz w:val="22"/>
          <w:szCs w:val="22"/>
        </w:rPr>
        <w:t>22,110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7E79B7">
        <w:rPr>
          <w:sz w:val="22"/>
          <w:szCs w:val="22"/>
        </w:rPr>
        <w:t>25,960</w:t>
      </w:r>
      <w:r w:rsidR="00495CA0">
        <w:rPr>
          <w:sz w:val="22"/>
          <w:szCs w:val="22"/>
        </w:rPr>
        <w:tab/>
      </w:r>
      <w:r w:rsidR="000C0343">
        <w:rPr>
          <w:sz w:val="22"/>
          <w:szCs w:val="22"/>
        </w:rPr>
        <w:t>$</w:t>
      </w:r>
      <w:r w:rsidR="007E79B7">
        <w:rPr>
          <w:sz w:val="22"/>
          <w:szCs w:val="22"/>
        </w:rPr>
        <w:t>29,810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7A9AA886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453">
        <w:rPr>
          <w:sz w:val="22"/>
          <w:szCs w:val="22"/>
        </w:rPr>
        <w:t>$</w:t>
      </w:r>
      <w:r w:rsidR="00623F55">
        <w:rPr>
          <w:sz w:val="22"/>
          <w:szCs w:val="22"/>
        </w:rPr>
        <w:t>2,610</w:t>
      </w:r>
      <w:r w:rsidR="00A144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3F1239">
        <w:rPr>
          <w:sz w:val="22"/>
          <w:szCs w:val="22"/>
        </w:rPr>
        <w:t>6,</w:t>
      </w:r>
      <w:r w:rsidR="00623F55">
        <w:rPr>
          <w:sz w:val="22"/>
          <w:szCs w:val="22"/>
        </w:rPr>
        <w:t>540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</w:t>
      </w:r>
      <w:r w:rsidR="00623F55">
        <w:rPr>
          <w:sz w:val="22"/>
          <w:szCs w:val="22"/>
        </w:rPr>
        <w:t>10,470</w:t>
      </w:r>
      <w:r w:rsidR="00C459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$</w:t>
      </w:r>
      <w:r w:rsidR="00623F55">
        <w:rPr>
          <w:sz w:val="22"/>
          <w:szCs w:val="22"/>
        </w:rPr>
        <w:t>14,400</w:t>
      </w:r>
      <w:r w:rsidR="00172856">
        <w:rPr>
          <w:sz w:val="22"/>
          <w:szCs w:val="22"/>
        </w:rPr>
        <w:tab/>
      </w:r>
      <w:r w:rsidR="00D7049F">
        <w:rPr>
          <w:sz w:val="22"/>
          <w:szCs w:val="22"/>
        </w:rPr>
        <w:t>$</w:t>
      </w:r>
      <w:r w:rsidR="00AA5883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089C1397" w14:textId="172FA35F" w:rsidR="008F7AB7" w:rsidRDefault="00FE63C7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proofErr w:type="gramStart"/>
      <w:r>
        <w:rPr>
          <w:sz w:val="22"/>
          <w:szCs w:val="22"/>
        </w:rPr>
        <w:tab/>
        <w:t xml:space="preserve">  N</w:t>
      </w:r>
      <w:proofErr w:type="gramEnd"/>
      <w:r>
        <w:rPr>
          <w:sz w:val="22"/>
          <w:szCs w:val="22"/>
        </w:rPr>
        <w:t>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1,860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667A8">
        <w:rPr>
          <w:sz w:val="22"/>
          <w:szCs w:val="22"/>
        </w:rPr>
        <w:t>4,230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0667A8">
        <w:rPr>
          <w:sz w:val="22"/>
          <w:szCs w:val="22"/>
        </w:rPr>
        <w:t>6,600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8,970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5DAB8C8D" w14:textId="289F3A6F" w:rsidR="00F26813" w:rsidRPr="004A660E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266776">
        <w:rPr>
          <w:sz w:val="20"/>
          <w:szCs w:val="20"/>
        </w:rPr>
        <w:t>3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266776">
        <w:rPr>
          <w:sz w:val="20"/>
          <w:szCs w:val="20"/>
        </w:rPr>
        <w:t>4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490E42CA" w14:textId="77777777" w:rsidR="00AB1FFE" w:rsidRPr="002B2DAC" w:rsidRDefault="00AB1FFE" w:rsidP="00AB1FFE">
      <w:pPr>
        <w:rPr>
          <w:b/>
          <w:bCs/>
          <w:sz w:val="20"/>
          <w:szCs w:val="20"/>
          <w:u w:val="single"/>
        </w:rPr>
      </w:pPr>
      <w:r w:rsidRPr="002B2DAC">
        <w:rPr>
          <w:b/>
          <w:bCs/>
          <w:sz w:val="20"/>
          <w:szCs w:val="20"/>
          <w:u w:val="single"/>
        </w:rPr>
        <w:t>If you do not see your program or if you are unsure, please contact monjour.davis@slu.edu.</w:t>
      </w:r>
    </w:p>
    <w:p w14:paraId="2B34EA45" w14:textId="77777777" w:rsidR="00AB1FFE" w:rsidRDefault="00AB1FFE" w:rsidP="006B792A">
      <w:pPr>
        <w:rPr>
          <w:sz w:val="22"/>
          <w:szCs w:val="22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578DB60E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</w:t>
      </w:r>
      <w:r w:rsidR="008B005C">
        <w:rPr>
          <w:sz w:val="20"/>
          <w:szCs w:val="20"/>
        </w:rPr>
        <w:t>45</w:t>
      </w:r>
      <w:r w:rsidR="005328F5">
        <w:rPr>
          <w:sz w:val="20"/>
          <w:szCs w:val="20"/>
        </w:rPr>
        <w:t>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763E20">
        <w:rPr>
          <w:sz w:val="20"/>
          <w:szCs w:val="20"/>
        </w:rPr>
        <w:t>1</w:t>
      </w:r>
      <w:r w:rsidR="00835255">
        <w:rPr>
          <w:sz w:val="20"/>
          <w:szCs w:val="20"/>
        </w:rPr>
        <w:t>94.02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</w:t>
      </w:r>
      <w:r w:rsidR="00CD298F">
        <w:rPr>
          <w:sz w:val="20"/>
          <w:szCs w:val="20"/>
        </w:rPr>
        <w:t>remainder</w:t>
      </w:r>
      <w:r w:rsidR="00065F62">
        <w:rPr>
          <w:sz w:val="20"/>
          <w:szCs w:val="20"/>
        </w:rPr>
        <w:t xml:space="preserve">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412B5289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/26 = $</w:t>
      </w:r>
      <w:r w:rsidR="00336A28">
        <w:rPr>
          <w:sz w:val="20"/>
          <w:szCs w:val="20"/>
        </w:rPr>
        <w:t>375.00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E6109A">
        <w:rPr>
          <w:sz w:val="20"/>
          <w:szCs w:val="20"/>
        </w:rPr>
        <w:t>133.50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proofErr w:type="gramStart"/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proofErr w:type="gramEnd"/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Scan and email form to </w:t>
      </w:r>
      <w:hyperlink r:id="rId9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920" w14:textId="77777777" w:rsidR="005E38BE" w:rsidRDefault="005E38BE" w:rsidP="00065F62">
      <w:r>
        <w:separator/>
      </w:r>
    </w:p>
  </w:endnote>
  <w:endnote w:type="continuationSeparator" w:id="0">
    <w:p w14:paraId="44FEE0F5" w14:textId="77777777" w:rsidR="005E38BE" w:rsidRDefault="005E38BE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8A35" w14:textId="77777777" w:rsidR="005E38BE" w:rsidRDefault="005E38BE" w:rsidP="00065F62">
      <w:r>
        <w:separator/>
      </w:r>
    </w:p>
  </w:footnote>
  <w:footnote w:type="continuationSeparator" w:id="0">
    <w:p w14:paraId="168878EF" w14:textId="77777777" w:rsidR="005E38BE" w:rsidRDefault="005E38BE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232D9"/>
    <w:rsid w:val="000321AB"/>
    <w:rsid w:val="0004391D"/>
    <w:rsid w:val="000578DB"/>
    <w:rsid w:val="00065F62"/>
    <w:rsid w:val="000667A8"/>
    <w:rsid w:val="00067884"/>
    <w:rsid w:val="00075565"/>
    <w:rsid w:val="000A2153"/>
    <w:rsid w:val="000A306B"/>
    <w:rsid w:val="000A31C4"/>
    <w:rsid w:val="000B2C8F"/>
    <w:rsid w:val="000C0343"/>
    <w:rsid w:val="000F4524"/>
    <w:rsid w:val="00100B9D"/>
    <w:rsid w:val="00101DF2"/>
    <w:rsid w:val="00116E7D"/>
    <w:rsid w:val="0012239E"/>
    <w:rsid w:val="00130661"/>
    <w:rsid w:val="001411E8"/>
    <w:rsid w:val="00142024"/>
    <w:rsid w:val="0015016A"/>
    <w:rsid w:val="00152080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66776"/>
    <w:rsid w:val="00276B9B"/>
    <w:rsid w:val="00285B92"/>
    <w:rsid w:val="00295427"/>
    <w:rsid w:val="002B2DAC"/>
    <w:rsid w:val="002C5B42"/>
    <w:rsid w:val="002D6DA3"/>
    <w:rsid w:val="002F0B0F"/>
    <w:rsid w:val="00305477"/>
    <w:rsid w:val="00306C26"/>
    <w:rsid w:val="0031374E"/>
    <w:rsid w:val="00331418"/>
    <w:rsid w:val="00335486"/>
    <w:rsid w:val="00336A28"/>
    <w:rsid w:val="00347EC8"/>
    <w:rsid w:val="003631C4"/>
    <w:rsid w:val="00376AFF"/>
    <w:rsid w:val="003831E6"/>
    <w:rsid w:val="00384B1B"/>
    <w:rsid w:val="00386F18"/>
    <w:rsid w:val="00391216"/>
    <w:rsid w:val="00396843"/>
    <w:rsid w:val="003C190C"/>
    <w:rsid w:val="003D7E33"/>
    <w:rsid w:val="003F1239"/>
    <w:rsid w:val="003F551E"/>
    <w:rsid w:val="00403424"/>
    <w:rsid w:val="0043304C"/>
    <w:rsid w:val="00437D72"/>
    <w:rsid w:val="00465B82"/>
    <w:rsid w:val="00495CA0"/>
    <w:rsid w:val="004A6108"/>
    <w:rsid w:val="004A660E"/>
    <w:rsid w:val="004B5AF6"/>
    <w:rsid w:val="004D5751"/>
    <w:rsid w:val="004E4D64"/>
    <w:rsid w:val="004E63A4"/>
    <w:rsid w:val="004F10BE"/>
    <w:rsid w:val="004F7DCB"/>
    <w:rsid w:val="005128A3"/>
    <w:rsid w:val="00531707"/>
    <w:rsid w:val="005328F5"/>
    <w:rsid w:val="00552E4B"/>
    <w:rsid w:val="00570C27"/>
    <w:rsid w:val="005760F3"/>
    <w:rsid w:val="00576373"/>
    <w:rsid w:val="00582A54"/>
    <w:rsid w:val="00586C3C"/>
    <w:rsid w:val="005A1904"/>
    <w:rsid w:val="005A3EBE"/>
    <w:rsid w:val="005B5FA0"/>
    <w:rsid w:val="005E38BE"/>
    <w:rsid w:val="005E3D7A"/>
    <w:rsid w:val="00602047"/>
    <w:rsid w:val="00623F55"/>
    <w:rsid w:val="006351D4"/>
    <w:rsid w:val="0063601A"/>
    <w:rsid w:val="00643CA7"/>
    <w:rsid w:val="00646336"/>
    <w:rsid w:val="00656723"/>
    <w:rsid w:val="006659C0"/>
    <w:rsid w:val="006833F3"/>
    <w:rsid w:val="00690DB0"/>
    <w:rsid w:val="00691700"/>
    <w:rsid w:val="0069395F"/>
    <w:rsid w:val="00695B19"/>
    <w:rsid w:val="006A3835"/>
    <w:rsid w:val="006B04AD"/>
    <w:rsid w:val="006B792A"/>
    <w:rsid w:val="006B7FB5"/>
    <w:rsid w:val="006D1453"/>
    <w:rsid w:val="006D4A88"/>
    <w:rsid w:val="006F4F87"/>
    <w:rsid w:val="00726722"/>
    <w:rsid w:val="00740AE4"/>
    <w:rsid w:val="007446FD"/>
    <w:rsid w:val="0074789E"/>
    <w:rsid w:val="00757FE4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7E79B7"/>
    <w:rsid w:val="00835255"/>
    <w:rsid w:val="00857EC4"/>
    <w:rsid w:val="00863DC4"/>
    <w:rsid w:val="008669E5"/>
    <w:rsid w:val="00871D7B"/>
    <w:rsid w:val="008B005C"/>
    <w:rsid w:val="008B20DB"/>
    <w:rsid w:val="008B5AD4"/>
    <w:rsid w:val="008B7F7C"/>
    <w:rsid w:val="008D3FD8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2FE0"/>
    <w:rsid w:val="00A14453"/>
    <w:rsid w:val="00A22104"/>
    <w:rsid w:val="00A405D8"/>
    <w:rsid w:val="00A6082E"/>
    <w:rsid w:val="00A73E9A"/>
    <w:rsid w:val="00A7521F"/>
    <w:rsid w:val="00A91A84"/>
    <w:rsid w:val="00AA5883"/>
    <w:rsid w:val="00AA7721"/>
    <w:rsid w:val="00AB1FFE"/>
    <w:rsid w:val="00AB7A15"/>
    <w:rsid w:val="00AC2F95"/>
    <w:rsid w:val="00AC3CB9"/>
    <w:rsid w:val="00AD1F09"/>
    <w:rsid w:val="00AF17F3"/>
    <w:rsid w:val="00B01ED5"/>
    <w:rsid w:val="00B052BC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00AD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298F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05A5F"/>
    <w:rsid w:val="00E50022"/>
    <w:rsid w:val="00E514DD"/>
    <w:rsid w:val="00E5371B"/>
    <w:rsid w:val="00E53FFD"/>
    <w:rsid w:val="00E6109A"/>
    <w:rsid w:val="00E6351F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2DF8"/>
    <w:rsid w:val="00FC683C"/>
    <w:rsid w:val="00FD109C"/>
    <w:rsid w:val="00FD73C4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njour.davi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4" ma:contentTypeDescription="Create a new document." ma:contentTypeScope="" ma:versionID="b25b48d83d43eafbfad6d9beb4181fc6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9e619fdd515968e23d82dcfa84d06562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D26EB-AED9-45CB-842E-0E771525C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0538B-6EDC-4B5A-A333-66C3DD26FD8B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3.xml><?xml version="1.0" encoding="utf-8"?>
<ds:datastoreItem xmlns:ds="http://schemas.openxmlformats.org/officeDocument/2006/customXml" ds:itemID="{D42652A5-A934-446D-91F2-34D1B8B9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10</cp:revision>
  <cp:lastPrinted>2018-12-28T19:36:00Z</cp:lastPrinted>
  <dcterms:created xsi:type="dcterms:W3CDTF">2023-07-10T17:16:00Z</dcterms:created>
  <dcterms:modified xsi:type="dcterms:W3CDTF">2023-10-11T19:54:00Z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