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85.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9975"/>
        <w:tblGridChange w:id="0">
          <w:tblGrid>
            <w:gridCol w:w="3810"/>
            <w:gridCol w:w="9975"/>
          </w:tblGrid>
        </w:tblGridChange>
      </w:tblGrid>
      <w:tr>
        <w:trPr>
          <w:cantSplit w:val="0"/>
          <w:trHeight w:val="280" w:hRule="atLeast"/>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312"/>
        <w:gridCol w:w="7054"/>
        <w:gridCol w:w="2599"/>
        <w:tblGridChange w:id="0">
          <w:tblGrid>
            <w:gridCol w:w="3859"/>
            <w:gridCol w:w="312"/>
            <w:gridCol w:w="7054"/>
            <w:gridCol w:w="2599"/>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E">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Ways of Thinking:  Quantitative Reasoning</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1">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4">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7">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Varies</w:t>
            </w:r>
          </w:p>
        </w:tc>
      </w:tr>
      <w:tr>
        <w:trPr>
          <w:cantSplit w:val="0"/>
          <w:tblHeader w:val="0"/>
        </w:trPr>
        <w:tc>
          <w:tcPr>
            <w:shd w:fill="d9e2f3" w:val="clear"/>
          </w:tcPr>
          <w:p w:rsidR="00000000" w:rsidDel="00000000" w:rsidP="00000000" w:rsidRDefault="00000000" w:rsidRPr="00000000" w14:paraId="0000001A">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3</w:t>
            </w:r>
          </w:p>
        </w:tc>
      </w:tr>
      <w:tr>
        <w:trPr>
          <w:cantSplit w:val="0"/>
          <w:tblHeader w:val="0"/>
        </w:trPr>
        <w:tc>
          <w:tcPr>
            <w:shd w:fill="d9e2f3" w:val="clear"/>
          </w:tcPr>
          <w:p w:rsidR="00000000" w:rsidDel="00000000" w:rsidP="00000000" w:rsidRDefault="00000000" w:rsidRPr="00000000" w14:paraId="0000001E">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1F">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Should be completed during a student’s first 45 credit hours at SLU</w:t>
            </w:r>
          </w:p>
        </w:tc>
      </w:tr>
      <w:tr>
        <w:trPr>
          <w:cantSplit w:val="0"/>
          <w:tblHeader w:val="0"/>
        </w:trPr>
        <w:tc>
          <w:tcPr>
            <w:shd w:fill="d9e2f3" w:val="clear"/>
          </w:tcPr>
          <w:p w:rsidR="00000000" w:rsidDel="00000000" w:rsidP="00000000" w:rsidRDefault="00000000" w:rsidRPr="00000000" w14:paraId="00000022">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3">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Courses that satisfy the Quantitative Reasoning requirement introduce students to the ubiquity of quantitative data, theories, and applications.  In these courses, students attain a breadth and depth of mathematical and/or statistical skill sets that allows them to assess quantitative information in order to develop rigorous arguments and communicate reasoned conclusions.</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7">
            <w:pPr>
              <w:numPr>
                <w:ilvl w:val="0"/>
                <w:numId w:val="1"/>
              </w:numPr>
              <w:ind w:left="36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A MATH designated course must be above the level of MATH 1200</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Quantitative Ways of Thinking courses must develop students’ skills in </w:t>
            </w:r>
            <w:r w:rsidDel="00000000" w:rsidR="00000000" w:rsidRPr="00000000">
              <w:rPr>
                <w:rFonts w:ascii="Calibri" w:cs="Calibri" w:eastAsia="Calibri" w:hAnsi="Calibri"/>
                <w:b w:val="1"/>
                <w:color w:val="2e75b5"/>
                <w:sz w:val="20"/>
                <w:szCs w:val="20"/>
                <w:rtl w:val="0"/>
              </w:rPr>
              <w:t xml:space="preserve">at least one</w:t>
            </w:r>
            <w:r w:rsidDel="00000000" w:rsidR="00000000" w:rsidRPr="00000000">
              <w:rPr>
                <w:rFonts w:ascii="Calibri" w:cs="Calibri" w:eastAsia="Calibri" w:hAnsi="Calibri"/>
                <w:color w:val="2e75b5"/>
                <w:sz w:val="20"/>
                <w:szCs w:val="20"/>
                <w:rtl w:val="0"/>
              </w:rPr>
              <w:t xml:space="preserve"> of three broad areas: </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The manipulation, understanding, and recognition of patterns of symbols and numbers, which can then be applied to advanced numerical problems and quantitative courses in any area/discipline</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Statistical analysis and communication and interpretation of that analysis</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The ability to recognize the ubiquitous nature of numerical evidence and our civic responsibility to evaluate and communicate about numerical evidence within societal, national, and/or global contexts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Courses that meet the learning outcomes and essential criteria for this component may be submitted from any department or program</w:t>
            </w:r>
            <w:r w:rsidDel="00000000" w:rsidR="00000000" w:rsidRPr="00000000">
              <w:rPr>
                <w:rtl w:val="0"/>
              </w:rPr>
            </w:r>
          </w:p>
        </w:tc>
      </w:tr>
    </w:tbl>
    <w:p w:rsidR="00000000" w:rsidDel="00000000" w:rsidP="00000000" w:rsidRDefault="00000000" w:rsidRPr="00000000" w14:paraId="0000002F">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30">
      <w:pPr>
        <w:spacing w:line="360" w:lineRule="auto"/>
        <w:jc w:val="center"/>
        <w:rPr>
          <w:b w:val="1"/>
          <w:sz w:val="26"/>
          <w:szCs w:val="26"/>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2">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3">
      <w:pPr>
        <w:spacing w:line="360" w:lineRule="auto"/>
        <w:rPr>
          <w:b w:val="1"/>
        </w:rPr>
      </w:pPr>
      <w:r w:rsidDel="00000000" w:rsidR="00000000" w:rsidRPr="00000000">
        <w:rPr>
          <w:b w:val="1"/>
          <w:rtl w:val="0"/>
        </w:rPr>
        <w:t xml:space="preserve">Ways of Thinking: Quantitative Reasoning</w:t>
      </w:r>
    </w:p>
    <w:p w:rsidR="00000000" w:rsidDel="00000000" w:rsidP="00000000" w:rsidRDefault="00000000" w:rsidRPr="00000000" w14:paraId="00000034">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7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25"/>
        <w:tblGridChange w:id="0">
          <w:tblGrid>
            <w:gridCol w:w="13725"/>
          </w:tblGrid>
        </w:tblGridChange>
      </w:tblGrid>
      <w:tr>
        <w:trPr>
          <w:cantSplit w:val="0"/>
          <w:tblHeader w:val="0"/>
        </w:trPr>
        <w:tc>
          <w:tcPr>
            <w:shd w:fill="d0cece" w:val="clear"/>
          </w:tcPr>
          <w:p w:rsidR="00000000" w:rsidDel="00000000" w:rsidP="00000000" w:rsidRDefault="00000000" w:rsidRPr="00000000" w14:paraId="00000035">
            <w:pPr>
              <w:rPr/>
            </w:pPr>
            <w:r w:rsidDel="00000000" w:rsidR="00000000" w:rsidRPr="00000000">
              <w:rPr>
                <w:b w:val="1"/>
                <w:rtl w:val="0"/>
              </w:rPr>
              <w:t xml:space="preserve">Ways of Thinking: Quantitative Reasoning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6">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7">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SLO 2: Integrate knowledge from multiple disciplines to address complex questions</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SLO 3: Assess evidence and draw reasoned conclusions</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SLO 4: Communicate effectively in writing, speech, and visual media</w:t>
            </w:r>
          </w:p>
        </w:tc>
      </w:tr>
    </w:tbl>
    <w:p w:rsidR="00000000" w:rsidDel="00000000" w:rsidP="00000000" w:rsidRDefault="00000000" w:rsidRPr="00000000" w14:paraId="0000003B">
      <w:pPr>
        <w:rPr>
          <w:b w:val="1"/>
          <w:sz w:val="24"/>
          <w:szCs w:val="24"/>
          <w:u w:val="single"/>
        </w:rPr>
      </w:pPr>
      <w:r w:rsidDel="00000000" w:rsidR="00000000" w:rsidRPr="00000000">
        <w:rPr>
          <w:rtl w:val="0"/>
        </w:rPr>
      </w:r>
    </w:p>
    <w:sdt>
      <w:sdtPr>
        <w:lock w:val="contentLocked"/>
        <w:tag w:val="goog_rdk_0"/>
      </w:sdtPr>
      <w:sdtContent>
        <w:tbl>
          <w:tblPr>
            <w:tblStyle w:val="Table4"/>
            <w:tblW w:w="13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70"/>
            <w:tblGridChange w:id="0">
              <w:tblGrid>
                <w:gridCol w:w="13770"/>
              </w:tblGrid>
            </w:tblGridChange>
          </w:tblGrid>
          <w:tr>
            <w:trPr>
              <w:cantSplit w:val="0"/>
              <w:tblHeader w:val="0"/>
            </w:trPr>
            <w:tc>
              <w:tcPr>
                <w:shd w:fill="d0cece" w:val="clear"/>
              </w:tcPr>
              <w:p w:rsidR="00000000" w:rsidDel="00000000" w:rsidP="00000000" w:rsidRDefault="00000000" w:rsidRPr="00000000" w14:paraId="0000003C">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D">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E">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F">
                <w:pPr>
                  <w:numPr>
                    <w:ilvl w:val="0"/>
                    <w:numId w:val="3"/>
                  </w:numPr>
                  <w:ind w:left="360"/>
                  <w:rPr>
                    <w:rFonts w:ascii="Calibri" w:cs="Calibri" w:eastAsia="Calibri" w:hAnsi="Calibri"/>
                  </w:rPr>
                </w:pPr>
                <w:r w:rsidDel="00000000" w:rsidR="00000000" w:rsidRPr="00000000">
                  <w:rPr>
                    <w:rtl w:val="0"/>
                  </w:rPr>
                  <w:t xml:space="preserve">Demonstrate a breadth and depth of mathematical and/or statistical skills needed to analyze and build quantitative models</w:t>
                </w:r>
              </w:p>
            </w:tc>
          </w:tr>
          <w:tr>
            <w:trPr>
              <w:cantSplit w:val="0"/>
              <w:tblHeader w:val="0"/>
            </w:trPr>
            <w:tc>
              <w:tcPr/>
              <w:p w:rsidR="00000000" w:rsidDel="00000000" w:rsidP="00000000" w:rsidRDefault="00000000" w:rsidRPr="00000000" w14:paraId="00000040">
                <w:pPr>
                  <w:numPr>
                    <w:ilvl w:val="0"/>
                    <w:numId w:val="3"/>
                  </w:numPr>
                  <w:ind w:left="360"/>
                  <w:rPr>
                    <w:rFonts w:ascii="Calibri" w:cs="Calibri" w:eastAsia="Calibri" w:hAnsi="Calibri"/>
                  </w:rPr>
                </w:pPr>
                <w:r w:rsidDel="00000000" w:rsidR="00000000" w:rsidRPr="00000000">
                  <w:rPr>
                    <w:rtl w:val="0"/>
                  </w:rPr>
                  <w:t xml:space="preserve">Recognize and understand patterns and arguments found in mathematics and/or statistics</w:t>
                </w:r>
              </w:p>
            </w:tc>
          </w:tr>
          <w:tr>
            <w:trPr>
              <w:cantSplit w:val="0"/>
              <w:tblHeader w:val="0"/>
            </w:trPr>
            <w:tc>
              <w:tcPr/>
              <w:p w:rsidR="00000000" w:rsidDel="00000000" w:rsidP="00000000" w:rsidRDefault="00000000" w:rsidRPr="00000000" w14:paraId="00000041">
                <w:pPr>
                  <w:numPr>
                    <w:ilvl w:val="0"/>
                    <w:numId w:val="9"/>
                  </w:numPr>
                  <w:ind w:left="330"/>
                </w:pPr>
                <w:r w:rsidDel="00000000" w:rsidR="00000000" w:rsidRPr="00000000">
                  <w:rPr>
                    <w:rtl w:val="0"/>
                  </w:rPr>
                  <w:t xml:space="preserve">Recognize the pervasiveness and myriad forms of mathematics and/or statistics which have aided in human and humane progress</w:t>
                </w:r>
              </w:p>
            </w:tc>
          </w:tr>
          <w:tr>
            <w:trPr>
              <w:cantSplit w:val="0"/>
              <w:tblHeader w:val="0"/>
            </w:trPr>
            <w:tc>
              <w:tcPr/>
              <w:p w:rsidR="00000000" w:rsidDel="00000000" w:rsidP="00000000" w:rsidRDefault="00000000" w:rsidRPr="00000000" w14:paraId="00000042">
                <w:pPr>
                  <w:numPr>
                    <w:ilvl w:val="0"/>
                    <w:numId w:val="9"/>
                  </w:numPr>
                  <w:ind w:left="330"/>
                </w:pPr>
                <w:r w:rsidDel="00000000" w:rsidR="00000000" w:rsidRPr="00000000">
                  <w:rPr>
                    <w:rtl w:val="0"/>
                  </w:rPr>
                  <w:t xml:space="preserve">Communicate effectively in mathematical and/or statistical ways by forming arguments and conveying results obtained through the application of quantitative tools</w:t>
                </w:r>
              </w:p>
            </w:tc>
          </w:tr>
        </w:tbl>
      </w:sdtContent>
    </w:sdt>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r>
    </w:p>
    <w:tbl>
      <w:tblPr>
        <w:tblStyle w:val="Table5"/>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5">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7">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8">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Below, you will find listed the 4 course-level student learning outcomes associated with this Core component area.</w:t>
            </w:r>
          </w:p>
          <w:p w:rsidR="00000000" w:rsidDel="00000000" w:rsidP="00000000" w:rsidRDefault="00000000" w:rsidRPr="00000000" w14:paraId="00000049">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A">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w:t>
            </w:r>
          </w:p>
        </w:tc>
      </w:tr>
      <w:tr>
        <w:trPr>
          <w:cantSplit w:val="0"/>
          <w:trHeight w:val="1763" w:hRule="atLeast"/>
          <w:tblHeader w:val="0"/>
        </w:trPr>
        <w:tc>
          <w:tcPr>
            <w:shd w:fill="d9e2f3" w:val="clear"/>
          </w:tcPr>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demonstrate a breadth and depth of mathematical and/or statistical skills needed to analyze and build quantitative models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6660"/>
              </w:tabs>
              <w:rPr>
                <w:color w:val="2e75b5"/>
                <w:sz w:val="20"/>
                <w:szCs w:val="20"/>
              </w:rPr>
            </w:pPr>
            <w:r w:rsidDel="00000000" w:rsidR="00000000" w:rsidRPr="00000000">
              <w:rPr>
                <w:rtl w:val="0"/>
              </w:rPr>
            </w:r>
          </w:p>
          <w:p w:rsidR="00000000" w:rsidDel="00000000" w:rsidP="00000000" w:rsidRDefault="00000000" w:rsidRPr="00000000" w14:paraId="0000004E">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F">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you ensure that the primary focus of this course will be quantitative reasoning? </w:t>
            </w:r>
          </w:p>
          <w:p w:rsidR="00000000" w:rsidDel="00000000" w:rsidP="00000000" w:rsidRDefault="00000000" w:rsidRPr="00000000" w14:paraId="00000051">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2">
            <w:pPr>
              <w:tabs>
                <w:tab w:val="left" w:leader="none" w:pos="6660"/>
              </w:tabs>
              <w:rPr>
                <w:color w:val="2e75b5"/>
                <w:sz w:val="20"/>
                <w:szCs w:val="20"/>
              </w:rPr>
            </w:pPr>
            <w:r w:rsidDel="00000000" w:rsidR="00000000" w:rsidRPr="00000000">
              <w:rPr>
                <w:color w:val="2e75b5"/>
                <w:sz w:val="20"/>
                <w:szCs w:val="20"/>
                <w:rtl w:val="0"/>
              </w:rPr>
              <w:t xml:space="preserve">How will this course foster students’ development of a significantly broad and deep skill set used in quantitative reasoning (e.g.: basic statistical, probabilistic, and/or mathematical computations)? </w:t>
            </w:r>
          </w:p>
        </w:tc>
      </w:tr>
      <w:tr>
        <w:trPr>
          <w:cantSplit w:val="0"/>
          <w:trHeight w:val="1763" w:hRule="atLeast"/>
          <w:tblHeader w:val="0"/>
        </w:trPr>
        <w:tc>
          <w:tcPr>
            <w:shd w:fill="d9e2f3" w:val="clear"/>
          </w:tcPr>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recognize and understand patterns and arguments found in mathematics and/or statistics </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6660"/>
              </w:tabs>
              <w:rPr>
                <w:color w:val="2e75b5"/>
                <w:sz w:val="20"/>
                <w:szCs w:val="20"/>
              </w:rPr>
            </w:pPr>
            <w:r w:rsidDel="00000000" w:rsidR="00000000" w:rsidRPr="00000000">
              <w:rPr>
                <w:rtl w:val="0"/>
              </w:rPr>
            </w:r>
          </w:p>
          <w:p w:rsidR="00000000" w:rsidDel="00000000" w:rsidP="00000000" w:rsidRDefault="00000000" w:rsidRPr="00000000" w14:paraId="00000056">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6660"/>
              </w:tabs>
              <w:rPr>
                <w:color w:val="2e75b5"/>
                <w:sz w:val="20"/>
                <w:szCs w:val="20"/>
              </w:rPr>
            </w:pPr>
            <w:r w:rsidDel="00000000" w:rsidR="00000000" w:rsidRPr="00000000">
              <w:rPr>
                <w:rtl w:val="0"/>
              </w:rPr>
            </w:r>
          </w:p>
        </w:tc>
        <w:tc>
          <w:tcPr>
            <w:gridSpan w:val="2"/>
          </w:tcPr>
          <w:p w:rsidR="00000000" w:rsidDel="00000000" w:rsidP="00000000" w:rsidRDefault="00000000" w:rsidRPr="00000000" w14:paraId="00000058">
            <w:pPr>
              <w:tabs>
                <w:tab w:val="left" w:leader="none" w:pos="6660"/>
              </w:tabs>
              <w:ind w:left="0" w:firstLine="0"/>
              <w:rPr>
                <w:color w:val="2e75b5"/>
                <w:sz w:val="20"/>
                <w:szCs w:val="20"/>
              </w:rPr>
            </w:pPr>
            <w:r w:rsidDel="00000000" w:rsidR="00000000" w:rsidRPr="00000000">
              <w:rPr>
                <w:color w:val="2e75b5"/>
                <w:sz w:val="20"/>
                <w:szCs w:val="20"/>
                <w:rtl w:val="0"/>
              </w:rPr>
              <w:t xml:space="preserve">How will this course require students to evaluate quantitative information and evidence, including its representation in forms such as charts, graphs, equations, and/or statistics obtained from data?</w:t>
            </w:r>
          </w:p>
          <w:p w:rsidR="00000000" w:rsidDel="00000000" w:rsidP="00000000" w:rsidRDefault="00000000" w:rsidRPr="00000000" w14:paraId="00000059">
            <w:pPr>
              <w:tabs>
                <w:tab w:val="left" w:leader="none" w:pos="6660"/>
              </w:tabs>
              <w:ind w:left="0" w:firstLine="0"/>
              <w:rPr>
                <w:color w:val="2e75b5"/>
                <w:sz w:val="20"/>
                <w:szCs w:val="20"/>
              </w:rPr>
            </w:pPr>
            <w:r w:rsidDel="00000000" w:rsidR="00000000" w:rsidRPr="00000000">
              <w:rPr>
                <w:rtl w:val="0"/>
              </w:rPr>
            </w:r>
          </w:p>
          <w:p w:rsidR="00000000" w:rsidDel="00000000" w:rsidP="00000000" w:rsidRDefault="00000000" w:rsidRPr="00000000" w14:paraId="0000005A">
            <w:pPr>
              <w:tabs>
                <w:tab w:val="left" w:leader="none" w:pos="6660"/>
              </w:tabs>
              <w:ind w:left="0" w:firstLine="0"/>
              <w:rPr>
                <w:color w:val="2e75b5"/>
                <w:sz w:val="20"/>
                <w:szCs w:val="20"/>
              </w:rPr>
            </w:pPr>
            <w:r w:rsidDel="00000000" w:rsidR="00000000" w:rsidRPr="00000000">
              <w:rPr>
                <w:color w:val="2e75b5"/>
                <w:sz w:val="20"/>
                <w:szCs w:val="20"/>
                <w:rtl w:val="0"/>
              </w:rPr>
              <w:t xml:space="preserve">How will this course engage students in the construction, use, and application of mathematical or statistical modeling of numerically based information?</w:t>
            </w:r>
          </w:p>
        </w:tc>
      </w:tr>
      <w:tr>
        <w:trPr>
          <w:cantSplit w:val="0"/>
          <w:trHeight w:val="1763" w:hRule="atLeast"/>
          <w:tblHeader w:val="0"/>
        </w:trPr>
        <w:tc>
          <w:tcPr>
            <w:shd w:fill="d9e2f3" w:val="clear"/>
          </w:tcPr>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recognize the pervasiveness and myriad forms of mathematics and/or statistics which have aided in human and humane progress</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6660"/>
              </w:tabs>
              <w:rPr>
                <w:color w:val="2e75b5"/>
                <w:sz w:val="20"/>
                <w:szCs w:val="20"/>
              </w:rPr>
            </w:pPr>
            <w:r w:rsidDel="00000000" w:rsidR="00000000" w:rsidRPr="00000000">
              <w:rPr>
                <w:rtl w:val="0"/>
              </w:rPr>
            </w:r>
          </w:p>
          <w:p w:rsidR="00000000" w:rsidDel="00000000" w:rsidP="00000000" w:rsidRDefault="00000000" w:rsidRPr="00000000" w14:paraId="0000005E">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6660"/>
              </w:tabs>
              <w:rPr>
                <w:color w:val="2e75b5"/>
                <w:sz w:val="20"/>
                <w:szCs w:val="20"/>
              </w:rPr>
            </w:pPr>
            <w:r w:rsidDel="00000000" w:rsidR="00000000" w:rsidRPr="00000000">
              <w:rPr>
                <w:rtl w:val="0"/>
              </w:rPr>
            </w:r>
          </w:p>
        </w:tc>
        <w:tc>
          <w:tcPr>
            <w:gridSpan w:val="2"/>
          </w:tcPr>
          <w:p w:rsidR="00000000" w:rsidDel="00000000" w:rsidP="00000000" w:rsidRDefault="00000000" w:rsidRPr="00000000" w14:paraId="00000060">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tabs>
                <w:tab w:val="left" w:leader="none" w:pos="6660"/>
              </w:tabs>
              <w:ind w:left="360" w:hanging="270"/>
              <w:rPr>
                <w:rFonts w:ascii="Calibri" w:cs="Calibri" w:eastAsia="Calibri" w:hAnsi="Calibri"/>
                <w:color w:val="2e75b5"/>
                <w:sz w:val="20"/>
                <w:szCs w:val="20"/>
                <w:u w:val="none"/>
              </w:rPr>
            </w:pPr>
            <w:r w:rsidDel="00000000" w:rsidR="00000000" w:rsidRPr="00000000">
              <w:rPr>
                <w:rFonts w:ascii="Calibri" w:cs="Calibri" w:eastAsia="Calibri" w:hAnsi="Calibri"/>
                <w:color w:val="2e75b5"/>
                <w:sz w:val="20"/>
                <w:szCs w:val="20"/>
                <w:rtl w:val="0"/>
              </w:rPr>
              <w:t xml:space="preserve">Students will be able to communicate effectively in mathematical and/or statistical ways by forming arguments and conveying results obtained through the application of quantitative tools</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64">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66">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teach students to accurately explain information presented in mathematical or statistical forms?</w:t>
            </w:r>
          </w:p>
          <w:p w:rsidR="00000000" w:rsidDel="00000000" w:rsidP="00000000" w:rsidRDefault="00000000" w:rsidRPr="00000000" w14:paraId="00000067">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68">
            <w:pPr>
              <w:tabs>
                <w:tab w:val="left" w:leader="none" w:pos="6660"/>
              </w:tabs>
              <w:ind w:left="0" w:firstLine="0"/>
              <w:rPr>
                <w:color w:val="2e75b5"/>
                <w:sz w:val="20"/>
                <w:szCs w:val="20"/>
              </w:rPr>
            </w:pPr>
            <w:r w:rsidDel="00000000" w:rsidR="00000000" w:rsidRPr="00000000">
              <w:rPr>
                <w:color w:val="2e75b5"/>
                <w:sz w:val="20"/>
                <w:szCs w:val="20"/>
                <w:rtl w:val="0"/>
              </w:rPr>
              <w:t xml:space="preserve">How will you design an artifact that demonstrates student achievement of the component outcomes?</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D">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F">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70">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This course/experience is part of an integrated university-wide Core curriculum designed to facilitate student achievement of SLU’s nine University Core SLOs.  Below, you will find listed the 3 University Core-level student learning outcomes associated with this Core component area.</w:t>
            </w:r>
          </w:p>
          <w:p w:rsidR="00000000" w:rsidDel="00000000" w:rsidP="00000000" w:rsidRDefault="00000000" w:rsidRPr="00000000" w14:paraId="00000071">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72">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3 outcomes at the levels indicated.</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4">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(Introduce)</w:t>
            </w:r>
          </w:p>
          <w:p w:rsidR="00000000" w:rsidDel="00000000" w:rsidP="00000000" w:rsidRDefault="00000000" w:rsidRPr="00000000" w14:paraId="00000075">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76">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77">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8">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79">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B">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(Develop, Achieve)</w:t>
            </w:r>
          </w:p>
          <w:p w:rsidR="00000000" w:rsidDel="00000000" w:rsidP="00000000" w:rsidRDefault="00000000" w:rsidRPr="00000000" w14:paraId="0000007C">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D">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E">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F">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1">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4</w:t>
            </w:r>
            <w:r w:rsidDel="00000000" w:rsidR="00000000" w:rsidRPr="00000000">
              <w:rPr>
                <w:b w:val="1"/>
                <w:color w:val="2e75b5"/>
                <w:sz w:val="20"/>
                <w:szCs w:val="20"/>
                <w:rtl w:val="0"/>
              </w:rPr>
              <w:t xml:space="preserve">: Students will be able to communicate effectively in writing, speech, and visual media (Introduce)</w:t>
            </w:r>
          </w:p>
          <w:p w:rsidR="00000000" w:rsidDel="00000000" w:rsidP="00000000" w:rsidRDefault="00000000" w:rsidRPr="00000000" w14:paraId="00000082">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83">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84">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85">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72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72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84C7D"/>
    <w:rPr>
      <w:color w:val="0563c1" w:themeColor="hyperlink"/>
      <w:u w:val="single"/>
    </w:rPr>
  </w:style>
  <w:style w:type="character" w:styleId="FollowedHyperlink">
    <w:name w:val="FollowedHyperlink"/>
    <w:basedOn w:val="DefaultParagraphFont"/>
    <w:uiPriority w:val="99"/>
    <w:semiHidden w:val="1"/>
    <w:unhideWhenUsed w:val="1"/>
    <w:rsid w:val="00384C7D"/>
    <w:rPr>
      <w:color w:val="954f72" w:themeColor="followedHyperlink"/>
      <w:u w:val="single"/>
    </w:rPr>
  </w:style>
  <w:style w:type="table" w:styleId="TableGrid1" w:customStyle="1">
    <w:name w:val="Table Grid1"/>
    <w:basedOn w:val="TableNormal"/>
    <w:next w:val="TableGrid"/>
    <w:uiPriority w:val="39"/>
    <w:rsid w:val="00E67B90"/>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7330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73304"/>
    <w:rPr>
      <w:rFonts w:ascii="Segoe UI" w:cs="Segoe UI" w:hAnsi="Segoe UI"/>
      <w:sz w:val="18"/>
      <w:szCs w:val="18"/>
    </w:rPr>
  </w:style>
  <w:style w:type="character" w:styleId="UnresolvedMention">
    <w:name w:val="Unresolved Mention"/>
    <w:basedOn w:val="DefaultParagraphFont"/>
    <w:uiPriority w:val="99"/>
    <w:semiHidden w:val="1"/>
    <w:unhideWhenUsed w:val="1"/>
    <w:rsid w:val="00E355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a-aCDgUyGtfEYq-UT4Ns0VKbavDK1anK/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N8ZOh7FN/GhFGFoGM9+EN7GUA==">CgMxLjAaHwoBMBIaChgICVIUChJ0YWJsZS5saG93M3lzZGN0eno4AHIhMVNPODliSGN4cnMxRU1sYk9mM3hEYzRZQ1M1X2x1UGtr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2020-09-30T16:43:00Z</dcterms:created>
  <dc:creator>Jamie Zurliene</dc:creator>
</cp:coreProperties>
</file>