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0B3" w:rsidRDefault="00F460B3" w:rsidP="00F460B3">
      <w:pPr>
        <w:jc w:val="center"/>
        <w:rPr>
          <w:b/>
        </w:rPr>
      </w:pPr>
      <w:r w:rsidRPr="00976879">
        <w:rPr>
          <w:b/>
        </w:rPr>
        <w:t>Saint Louis University IRB Review</w:t>
      </w:r>
      <w:r>
        <w:rPr>
          <w:b/>
        </w:rPr>
        <w:t>/Administrative Review</w:t>
      </w:r>
      <w:r w:rsidRPr="00976879">
        <w:rPr>
          <w:b/>
        </w:rPr>
        <w:t xml:space="preserve"> Fees</w:t>
      </w:r>
    </w:p>
    <w:p w:rsidR="00F460B3" w:rsidRPr="00976879" w:rsidRDefault="00F460B3" w:rsidP="00F460B3">
      <w:pPr>
        <w:jc w:val="center"/>
        <w:rPr>
          <w:b/>
        </w:rPr>
      </w:pPr>
      <w:r w:rsidRPr="00976879">
        <w:rPr>
          <w:b/>
        </w:rPr>
        <w:t>(Effective 7/1/2015)</w:t>
      </w:r>
    </w:p>
    <w:p w:rsidR="00F460B3" w:rsidRDefault="00F460B3" w:rsidP="00F460B3"/>
    <w:p w:rsidR="00F460B3" w:rsidRDefault="00F460B3" w:rsidP="00F460B3">
      <w:r>
        <w:t xml:space="preserve">IRB fees are charged for IRB review of all industry sponsored trials and some government sponsored trials.  The SLU IRB sends an invoice to the submitting department for protocol review per the fee schedule, below. </w:t>
      </w:r>
    </w:p>
    <w:p w:rsidR="00F460B3" w:rsidRDefault="00F460B3" w:rsidP="00F460B3"/>
    <w:p w:rsidR="00F460B3" w:rsidRPr="008140E4" w:rsidRDefault="00F460B3" w:rsidP="00F460B3">
      <w:pPr>
        <w:rPr>
          <w:u w:val="single"/>
        </w:rPr>
      </w:pPr>
      <w:r w:rsidRPr="008140E4">
        <w:rPr>
          <w:u w:val="single"/>
        </w:rPr>
        <w:t xml:space="preserve">SLU IRB </w:t>
      </w:r>
      <w:r>
        <w:rPr>
          <w:u w:val="single"/>
        </w:rPr>
        <w:t xml:space="preserve">Review </w:t>
      </w:r>
      <w:r w:rsidRPr="008140E4">
        <w:rPr>
          <w:u w:val="single"/>
        </w:rPr>
        <w:t xml:space="preserve">Fee Schedule: </w:t>
      </w:r>
    </w:p>
    <w:p w:rsidR="00F460B3" w:rsidRDefault="00F460B3" w:rsidP="00F460B3"/>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880"/>
      </w:tblGrid>
      <w:tr w:rsidR="00F460B3" w:rsidTr="006D020A">
        <w:tc>
          <w:tcPr>
            <w:tcW w:w="2808" w:type="dxa"/>
          </w:tcPr>
          <w:p w:rsidR="00F460B3" w:rsidRPr="00523FED" w:rsidRDefault="00F460B3" w:rsidP="006D020A">
            <w:pPr>
              <w:jc w:val="center"/>
              <w:rPr>
                <w:b/>
              </w:rPr>
            </w:pPr>
            <w:r w:rsidRPr="00523FED">
              <w:rPr>
                <w:b/>
              </w:rPr>
              <w:t>TYPE OF REVIEW</w:t>
            </w:r>
          </w:p>
        </w:tc>
        <w:tc>
          <w:tcPr>
            <w:tcW w:w="2880" w:type="dxa"/>
          </w:tcPr>
          <w:p w:rsidR="00F460B3" w:rsidRPr="00523FED" w:rsidRDefault="00F460B3" w:rsidP="006D020A">
            <w:pPr>
              <w:jc w:val="center"/>
              <w:rPr>
                <w:b/>
              </w:rPr>
            </w:pPr>
            <w:r w:rsidRPr="00523FED">
              <w:rPr>
                <w:b/>
              </w:rPr>
              <w:t>COST</w:t>
            </w:r>
          </w:p>
        </w:tc>
      </w:tr>
      <w:tr w:rsidR="00F460B3" w:rsidTr="006D020A">
        <w:trPr>
          <w:trHeight w:val="467"/>
        </w:trPr>
        <w:tc>
          <w:tcPr>
            <w:tcW w:w="2808" w:type="dxa"/>
          </w:tcPr>
          <w:p w:rsidR="00F460B3" w:rsidRDefault="00F460B3" w:rsidP="006D020A">
            <w:r>
              <w:t>Initial Review – Full Board</w:t>
            </w:r>
          </w:p>
        </w:tc>
        <w:tc>
          <w:tcPr>
            <w:tcW w:w="2880" w:type="dxa"/>
          </w:tcPr>
          <w:p w:rsidR="00F460B3" w:rsidRDefault="00F460B3" w:rsidP="006D020A">
            <w:pPr>
              <w:jc w:val="center"/>
            </w:pPr>
            <w:r>
              <w:t>$2400.00</w:t>
            </w:r>
          </w:p>
        </w:tc>
      </w:tr>
      <w:tr w:rsidR="00F460B3" w:rsidTr="006D020A">
        <w:trPr>
          <w:trHeight w:val="710"/>
        </w:trPr>
        <w:tc>
          <w:tcPr>
            <w:tcW w:w="2808" w:type="dxa"/>
          </w:tcPr>
          <w:p w:rsidR="00F460B3" w:rsidRDefault="00F460B3" w:rsidP="006D020A">
            <w:r>
              <w:t xml:space="preserve">Initial Review – </w:t>
            </w:r>
          </w:p>
          <w:p w:rsidR="00F460B3" w:rsidRDefault="00F460B3" w:rsidP="006D020A">
            <w:r>
              <w:t>Expedited Review</w:t>
            </w:r>
          </w:p>
        </w:tc>
        <w:tc>
          <w:tcPr>
            <w:tcW w:w="2880" w:type="dxa"/>
          </w:tcPr>
          <w:p w:rsidR="00F460B3" w:rsidRDefault="00F460B3" w:rsidP="006D020A">
            <w:pPr>
              <w:jc w:val="center"/>
            </w:pPr>
            <w:r>
              <w:t xml:space="preserve"> $1200.00</w:t>
            </w:r>
          </w:p>
        </w:tc>
      </w:tr>
      <w:tr w:rsidR="00F460B3" w:rsidTr="006D020A">
        <w:trPr>
          <w:trHeight w:val="710"/>
        </w:trPr>
        <w:tc>
          <w:tcPr>
            <w:tcW w:w="2808" w:type="dxa"/>
          </w:tcPr>
          <w:p w:rsidR="00F460B3" w:rsidRDefault="00F460B3" w:rsidP="006D020A">
            <w:r>
              <w:t xml:space="preserve">Annual Review* (continuing review) </w:t>
            </w:r>
          </w:p>
        </w:tc>
        <w:tc>
          <w:tcPr>
            <w:tcW w:w="2880" w:type="dxa"/>
          </w:tcPr>
          <w:p w:rsidR="00F460B3" w:rsidRDefault="00F460B3" w:rsidP="006D020A">
            <w:pPr>
              <w:jc w:val="center"/>
            </w:pPr>
            <w:r>
              <w:t xml:space="preserve"> $750.00</w:t>
            </w:r>
          </w:p>
        </w:tc>
      </w:tr>
      <w:tr w:rsidR="00F460B3" w:rsidTr="006D020A">
        <w:trPr>
          <w:trHeight w:val="710"/>
        </w:trPr>
        <w:tc>
          <w:tcPr>
            <w:tcW w:w="2808" w:type="dxa"/>
          </w:tcPr>
          <w:p w:rsidR="00F460B3" w:rsidRDefault="00F460B3" w:rsidP="006D020A">
            <w:r>
              <w:t>Substantive Amendments* (changes-in-protocol)</w:t>
            </w:r>
          </w:p>
        </w:tc>
        <w:tc>
          <w:tcPr>
            <w:tcW w:w="2880" w:type="dxa"/>
          </w:tcPr>
          <w:p w:rsidR="00F460B3" w:rsidRDefault="00F460B3" w:rsidP="006D020A">
            <w:pPr>
              <w:jc w:val="center"/>
            </w:pPr>
            <w:r>
              <w:t>$500.00</w:t>
            </w:r>
          </w:p>
        </w:tc>
      </w:tr>
    </w:tbl>
    <w:p w:rsidR="00F460B3" w:rsidRDefault="00F460B3" w:rsidP="00F460B3"/>
    <w:p w:rsidR="00F460B3" w:rsidRDefault="00F460B3" w:rsidP="00F460B3">
      <w:pPr>
        <w:ind w:left="360"/>
      </w:pPr>
      <w:r>
        <w:t>* Only applicable to reviews conducted at a convened IRB meeting (full board).</w:t>
      </w:r>
    </w:p>
    <w:p w:rsidR="00F460B3" w:rsidRDefault="00F460B3" w:rsidP="00F460B3">
      <w:pPr>
        <w:ind w:left="360"/>
      </w:pPr>
    </w:p>
    <w:p w:rsidR="00F460B3" w:rsidRPr="008140E4" w:rsidRDefault="00F460B3" w:rsidP="00F460B3">
      <w:pPr>
        <w:rPr>
          <w:u w:val="single"/>
        </w:rPr>
      </w:pPr>
      <w:r>
        <w:rPr>
          <w:u w:val="single"/>
        </w:rPr>
        <w:t>SLU Administrative Review F</w:t>
      </w:r>
      <w:r w:rsidR="009E6F92">
        <w:rPr>
          <w:u w:val="single"/>
        </w:rPr>
        <w:t xml:space="preserve">ee for industry-sponsored trials submitted to </w:t>
      </w:r>
      <w:r>
        <w:rPr>
          <w:u w:val="single"/>
        </w:rPr>
        <w:t>central IRBs</w:t>
      </w:r>
      <w:r w:rsidRPr="008140E4">
        <w:rPr>
          <w:u w:val="single"/>
        </w:rPr>
        <w:t xml:space="preserve">: </w:t>
      </w:r>
    </w:p>
    <w:p w:rsidR="00F460B3" w:rsidRDefault="00F460B3" w:rsidP="00F460B3"/>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880"/>
      </w:tblGrid>
      <w:tr w:rsidR="00F460B3" w:rsidTr="006D020A">
        <w:tc>
          <w:tcPr>
            <w:tcW w:w="2808" w:type="dxa"/>
          </w:tcPr>
          <w:p w:rsidR="00F460B3" w:rsidRPr="00523FED" w:rsidRDefault="00F460B3" w:rsidP="006D020A">
            <w:pPr>
              <w:jc w:val="center"/>
              <w:rPr>
                <w:b/>
              </w:rPr>
            </w:pPr>
            <w:r w:rsidRPr="00523FED">
              <w:rPr>
                <w:b/>
              </w:rPr>
              <w:t>TYPE OF REVIEW</w:t>
            </w:r>
          </w:p>
        </w:tc>
        <w:tc>
          <w:tcPr>
            <w:tcW w:w="2880" w:type="dxa"/>
          </w:tcPr>
          <w:p w:rsidR="00F460B3" w:rsidRPr="00523FED" w:rsidRDefault="00F460B3" w:rsidP="006D020A">
            <w:pPr>
              <w:jc w:val="center"/>
              <w:rPr>
                <w:b/>
              </w:rPr>
            </w:pPr>
            <w:r w:rsidRPr="00523FED">
              <w:rPr>
                <w:b/>
              </w:rPr>
              <w:t>COST</w:t>
            </w:r>
          </w:p>
        </w:tc>
      </w:tr>
      <w:tr w:rsidR="00F460B3" w:rsidTr="006D020A">
        <w:trPr>
          <w:trHeight w:val="467"/>
        </w:trPr>
        <w:tc>
          <w:tcPr>
            <w:tcW w:w="2808" w:type="dxa"/>
          </w:tcPr>
          <w:p w:rsidR="00F460B3" w:rsidRDefault="00F460B3" w:rsidP="006D020A">
            <w:r>
              <w:t>Initial Administrative Review</w:t>
            </w:r>
          </w:p>
        </w:tc>
        <w:tc>
          <w:tcPr>
            <w:tcW w:w="2880" w:type="dxa"/>
          </w:tcPr>
          <w:p w:rsidR="00F460B3" w:rsidRDefault="00F460B3" w:rsidP="006D020A">
            <w:pPr>
              <w:jc w:val="center"/>
            </w:pPr>
            <w:r>
              <w:t>$750.00</w:t>
            </w:r>
          </w:p>
        </w:tc>
      </w:tr>
    </w:tbl>
    <w:p w:rsidR="00F460B3" w:rsidRDefault="00F460B3" w:rsidP="00F460B3"/>
    <w:p w:rsidR="00F460B3" w:rsidRDefault="00F460B3" w:rsidP="00F460B3">
      <w:r w:rsidRPr="008140E4">
        <w:rPr>
          <w:u w:val="single"/>
        </w:rPr>
        <w:t>WIRB review fees</w:t>
      </w:r>
      <w:r>
        <w:t xml:space="preserve"> can be found at </w:t>
      </w:r>
      <w:hyperlink r:id="rId7" w:history="1">
        <w:r w:rsidRPr="00005411">
          <w:rPr>
            <w:rStyle w:val="Hyperlink"/>
          </w:rPr>
          <w:t>www.wirb.com</w:t>
        </w:r>
      </w:hyperlink>
      <w:r>
        <w:t>.</w:t>
      </w:r>
    </w:p>
    <w:p w:rsidR="00F460B3" w:rsidRDefault="00F460B3" w:rsidP="00F460B3">
      <w:r w:rsidRPr="00762709">
        <w:rPr>
          <w:u w:val="single"/>
        </w:rPr>
        <w:t>Qu</w:t>
      </w:r>
      <w:r>
        <w:rPr>
          <w:u w:val="single"/>
        </w:rPr>
        <w:t>o</w:t>
      </w:r>
      <w:r w:rsidRPr="00762709">
        <w:rPr>
          <w:u w:val="single"/>
        </w:rPr>
        <w:t xml:space="preserve">rum </w:t>
      </w:r>
      <w:bookmarkStart w:id="0" w:name="_GoBack"/>
      <w:bookmarkEnd w:id="0"/>
      <w:r w:rsidRPr="00762709">
        <w:rPr>
          <w:u w:val="single"/>
        </w:rPr>
        <w:t>IRB fees</w:t>
      </w:r>
      <w:r>
        <w:t xml:space="preserve"> can be found at </w:t>
      </w:r>
      <w:hyperlink r:id="rId8" w:history="1">
        <w:r w:rsidRPr="002441F6">
          <w:rPr>
            <w:rStyle w:val="Hyperlink"/>
          </w:rPr>
          <w:t>http://www.quorumreview.com/</w:t>
        </w:r>
      </w:hyperlink>
      <w:r>
        <w:t>.</w:t>
      </w:r>
    </w:p>
    <w:p w:rsidR="00F460B3" w:rsidRDefault="009E6F92" w:rsidP="00F460B3">
      <w:proofErr w:type="spellStart"/>
      <w:r>
        <w:rPr>
          <w:u w:val="single"/>
        </w:rPr>
        <w:t>Advarra</w:t>
      </w:r>
      <w:proofErr w:type="spellEnd"/>
      <w:r w:rsidR="00F460B3" w:rsidRPr="00F460B3">
        <w:rPr>
          <w:u w:val="single"/>
        </w:rPr>
        <w:t xml:space="preserve"> review fees:</w:t>
      </w:r>
      <w:r w:rsidR="00F460B3">
        <w:t xml:space="preserve"> contact </w:t>
      </w:r>
      <w:r>
        <w:t>Kathleen</w:t>
      </w:r>
      <w:r w:rsidR="00F460B3">
        <w:t xml:space="preserve"> </w:t>
      </w:r>
      <w:r>
        <w:t xml:space="preserve">Rankin </w:t>
      </w:r>
      <w:r w:rsidR="00F460B3">
        <w:t>at 513-7</w:t>
      </w:r>
      <w:r>
        <w:t>61</w:t>
      </w:r>
      <w:r w:rsidR="00F460B3">
        <w:t>-</w:t>
      </w:r>
      <w:r>
        <w:t>4100 ext5729</w:t>
      </w:r>
      <w:r w:rsidR="00F460B3">
        <w:t xml:space="preserve"> </w:t>
      </w:r>
      <w:r w:rsidR="00F460B3" w:rsidRPr="009E6F92">
        <w:t>(</w:t>
      </w:r>
      <w:r w:rsidRPr="009E6F92">
        <w:rPr>
          <w:color w:val="0078D7"/>
          <w:shd w:val="clear" w:color="auto" w:fill="FFFFFF"/>
        </w:rPr>
        <w:t>kathleen.rankin@advarra.com</w:t>
      </w:r>
      <w:r w:rsidR="00F460B3" w:rsidRPr="009E6F92">
        <w:t>)</w:t>
      </w:r>
    </w:p>
    <w:p w:rsidR="00F460B3" w:rsidRDefault="00F460B3" w:rsidP="00F460B3"/>
    <w:p w:rsidR="00F460B3" w:rsidRDefault="00F460B3" w:rsidP="00F460B3">
      <w:r>
        <w:t xml:space="preserve">If you have any questions regarding Saint Louis University fees or billing, please contact the Saint Louis University IRB at 314-977-7744 or email at </w:t>
      </w:r>
      <w:hyperlink r:id="rId9" w:history="1">
        <w:r w:rsidRPr="004F523D">
          <w:rPr>
            <w:rStyle w:val="Hyperlink"/>
          </w:rPr>
          <w:t>irb@slu.edu</w:t>
        </w:r>
      </w:hyperlink>
      <w:r>
        <w:t>.</w:t>
      </w:r>
    </w:p>
    <w:sectPr w:rsidR="00F460B3" w:rsidSect="00EC0A66">
      <w:headerReference w:type="even" r:id="rId10"/>
      <w:headerReference w:type="first" r:id="rId11"/>
      <w:footerReference w:type="first" r:id="rId12"/>
      <w:pgSz w:w="12240" w:h="15840"/>
      <w:pgMar w:top="1440" w:right="1440" w:bottom="1440" w:left="1440"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029" w:rsidRDefault="00C72029" w:rsidP="00C52D70">
      <w:r>
        <w:separator/>
      </w:r>
    </w:p>
  </w:endnote>
  <w:endnote w:type="continuationSeparator" w:id="0">
    <w:p w:rsidR="00C72029" w:rsidRDefault="00C72029" w:rsidP="00C52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38B" w:rsidRPr="0067338B" w:rsidRDefault="0067338B">
    <w:pPr>
      <w:pStyle w:val="Footer"/>
      <w:rPr>
        <w:sz w:val="16"/>
        <w:szCs w:val="16"/>
      </w:rPr>
    </w:pPr>
    <w:r w:rsidRPr="0067338B">
      <w:rPr>
        <w:sz w:val="16"/>
        <w:szCs w:val="16"/>
      </w:rPr>
      <w:t xml:space="preserve">Version Date: </w:t>
    </w:r>
    <w:r w:rsidR="009E6F92">
      <w:rPr>
        <w:sz w:val="16"/>
        <w:szCs w:val="16"/>
      </w:rPr>
      <w:t>7/2018</w:t>
    </w:r>
  </w:p>
  <w:p w:rsidR="0067338B" w:rsidRDefault="006733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029" w:rsidRDefault="00C72029" w:rsidP="00C52D70">
      <w:r>
        <w:separator/>
      </w:r>
    </w:p>
  </w:footnote>
  <w:footnote w:type="continuationSeparator" w:id="0">
    <w:p w:rsidR="00C72029" w:rsidRDefault="00C72029" w:rsidP="00C52D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8B3" w:rsidRDefault="000868F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256391" o:spid="_x0000_s2050" type="#_x0000_t75" style="position:absolute;margin-left:0;margin-top:0;width:467.95pt;height:489.05pt;z-index:-251658752;mso-position-horizontal:center;mso-position-horizontal-relative:margin;mso-position-vertical:center;mso-position-vertical-relative:margin" o:allowincell="f">
          <v:imagedata r:id="rId1" o:title="SLU Universita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700" w:type="dxa"/>
      <w:tblInd w:w="-1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30"/>
      <w:gridCol w:w="6390"/>
      <w:gridCol w:w="2880"/>
    </w:tblGrid>
    <w:tr w:rsidR="00580F76" w:rsidTr="00580F76">
      <w:trPr>
        <w:trHeight w:val="1800"/>
      </w:trPr>
      <w:tc>
        <w:tcPr>
          <w:tcW w:w="2430" w:type="dxa"/>
          <w:hideMark/>
        </w:tcPr>
        <w:p w:rsidR="00580F76" w:rsidRDefault="00580F76">
          <w:pPr>
            <w:pStyle w:val="Header"/>
            <w:rPr>
              <w:color w:val="1F497D" w:themeColor="text2"/>
            </w:rPr>
          </w:pPr>
          <w:r>
            <w:rPr>
              <w:noProof/>
              <w:color w:val="1F497D" w:themeColor="text2"/>
            </w:rPr>
            <w:drawing>
              <wp:inline distT="0" distB="0" distL="0" distR="0" wp14:anchorId="70C36A06" wp14:editId="13C769BC">
                <wp:extent cx="1181100" cy="1209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209675"/>
                        </a:xfrm>
                        <a:prstGeom prst="rect">
                          <a:avLst/>
                        </a:prstGeom>
                        <a:noFill/>
                        <a:ln>
                          <a:noFill/>
                        </a:ln>
                      </pic:spPr>
                    </pic:pic>
                  </a:graphicData>
                </a:graphic>
              </wp:inline>
            </w:drawing>
          </w:r>
        </w:p>
      </w:tc>
      <w:tc>
        <w:tcPr>
          <w:tcW w:w="6390" w:type="dxa"/>
        </w:tcPr>
        <w:p w:rsidR="00580F76" w:rsidRDefault="00580F76">
          <w:pPr>
            <w:pStyle w:val="Header"/>
            <w:rPr>
              <w:color w:val="1F497D" w:themeColor="text2"/>
            </w:rPr>
          </w:pPr>
        </w:p>
      </w:tc>
      <w:tc>
        <w:tcPr>
          <w:tcW w:w="2880" w:type="dxa"/>
        </w:tcPr>
        <w:p w:rsidR="00580F76" w:rsidRDefault="00580F76">
          <w:pPr>
            <w:pStyle w:val="Header"/>
            <w:rPr>
              <w:color w:val="1F497D" w:themeColor="text2"/>
              <w:sz w:val="20"/>
              <w:szCs w:val="20"/>
            </w:rPr>
          </w:pPr>
        </w:p>
        <w:p w:rsidR="00580F76" w:rsidRDefault="00580F76">
          <w:pPr>
            <w:pStyle w:val="Header"/>
            <w:rPr>
              <w:color w:val="1F497D" w:themeColor="text2"/>
              <w:sz w:val="12"/>
              <w:szCs w:val="12"/>
            </w:rPr>
          </w:pPr>
        </w:p>
        <w:p w:rsidR="00580F76" w:rsidRDefault="00580F76">
          <w:pPr>
            <w:pStyle w:val="Header"/>
            <w:rPr>
              <w:color w:val="1F497D" w:themeColor="text2"/>
              <w:sz w:val="12"/>
              <w:szCs w:val="12"/>
            </w:rPr>
          </w:pPr>
        </w:p>
        <w:p w:rsidR="00580F76" w:rsidRDefault="00580F76">
          <w:pPr>
            <w:pStyle w:val="Header"/>
            <w:rPr>
              <w:color w:val="1F497D" w:themeColor="text2"/>
              <w:sz w:val="12"/>
              <w:szCs w:val="12"/>
            </w:rPr>
          </w:pPr>
        </w:p>
        <w:p w:rsidR="00580F76" w:rsidRDefault="00580F76">
          <w:pPr>
            <w:pStyle w:val="Header"/>
            <w:rPr>
              <w:color w:val="1F497D" w:themeColor="text2"/>
              <w:sz w:val="18"/>
              <w:szCs w:val="18"/>
            </w:rPr>
          </w:pPr>
          <w:r>
            <w:rPr>
              <w:color w:val="1F497D" w:themeColor="text2"/>
              <w:sz w:val="18"/>
              <w:szCs w:val="18"/>
            </w:rPr>
            <w:t>3556 Caroline Street</w:t>
          </w:r>
        </w:p>
        <w:p w:rsidR="00580F76" w:rsidRDefault="00580F76">
          <w:pPr>
            <w:pStyle w:val="Header"/>
            <w:rPr>
              <w:color w:val="1F497D" w:themeColor="text2"/>
              <w:sz w:val="18"/>
              <w:szCs w:val="18"/>
            </w:rPr>
          </w:pPr>
          <w:r>
            <w:rPr>
              <w:color w:val="1F497D" w:themeColor="text2"/>
              <w:sz w:val="18"/>
              <w:szCs w:val="18"/>
            </w:rPr>
            <w:t>Room C110</w:t>
          </w:r>
        </w:p>
        <w:p w:rsidR="00580F76" w:rsidRDefault="00580F76">
          <w:pPr>
            <w:pStyle w:val="Header"/>
            <w:rPr>
              <w:color w:val="1F497D" w:themeColor="text2"/>
              <w:sz w:val="18"/>
              <w:szCs w:val="18"/>
            </w:rPr>
          </w:pPr>
          <w:r>
            <w:rPr>
              <w:color w:val="1F497D" w:themeColor="text2"/>
              <w:sz w:val="18"/>
              <w:szCs w:val="18"/>
            </w:rPr>
            <w:t>St. Louis, MO 63104</w:t>
          </w:r>
        </w:p>
        <w:p w:rsidR="00580F76" w:rsidRDefault="00580F76">
          <w:pPr>
            <w:pStyle w:val="Header"/>
            <w:rPr>
              <w:color w:val="1F497D" w:themeColor="text2"/>
              <w:sz w:val="18"/>
              <w:szCs w:val="18"/>
            </w:rPr>
          </w:pPr>
          <w:r>
            <w:rPr>
              <w:color w:val="1F497D" w:themeColor="text2"/>
              <w:sz w:val="18"/>
              <w:szCs w:val="18"/>
            </w:rPr>
            <w:t>Phone 314-977-7744</w:t>
          </w:r>
        </w:p>
        <w:p w:rsidR="00580F76" w:rsidRDefault="00580F76">
          <w:pPr>
            <w:pStyle w:val="Header"/>
            <w:rPr>
              <w:color w:val="1F497D" w:themeColor="text2"/>
              <w:sz w:val="18"/>
              <w:szCs w:val="18"/>
            </w:rPr>
          </w:pPr>
          <w:r>
            <w:rPr>
              <w:color w:val="1F497D" w:themeColor="text2"/>
              <w:sz w:val="18"/>
              <w:szCs w:val="18"/>
            </w:rPr>
            <w:t>Fax 314-977-7730</w:t>
          </w:r>
        </w:p>
        <w:p w:rsidR="00580F76" w:rsidRDefault="00580F76">
          <w:pPr>
            <w:pStyle w:val="Header"/>
            <w:rPr>
              <w:color w:val="1F497D" w:themeColor="text2"/>
              <w:sz w:val="20"/>
              <w:szCs w:val="20"/>
            </w:rPr>
          </w:pPr>
          <w:r>
            <w:rPr>
              <w:color w:val="1F497D" w:themeColor="text2"/>
              <w:sz w:val="18"/>
              <w:szCs w:val="18"/>
            </w:rPr>
            <w:t>www.slu.edu</w:t>
          </w:r>
        </w:p>
      </w:tc>
    </w:tr>
    <w:tr w:rsidR="00580F76" w:rsidTr="00580F76">
      <w:trPr>
        <w:trHeight w:val="263"/>
      </w:trPr>
      <w:tc>
        <w:tcPr>
          <w:tcW w:w="11700" w:type="dxa"/>
          <w:gridSpan w:val="3"/>
          <w:hideMark/>
        </w:tcPr>
        <w:p w:rsidR="00580F76" w:rsidRDefault="00580F76">
          <w:pPr>
            <w:pStyle w:val="Header"/>
            <w:rPr>
              <w:color w:val="1F497D" w:themeColor="text2"/>
              <w:sz w:val="12"/>
              <w:szCs w:val="12"/>
            </w:rPr>
          </w:pPr>
          <w:r>
            <w:rPr>
              <w:color w:val="1F497D" w:themeColor="text2"/>
              <w:sz w:val="12"/>
              <w:szCs w:val="12"/>
            </w:rPr>
            <w:t>_______________________________________________________________________________________________________________________________________________________________________________________________</w:t>
          </w:r>
        </w:p>
      </w:tc>
    </w:tr>
    <w:tr w:rsidR="00580F76" w:rsidTr="00580F76">
      <w:trPr>
        <w:trHeight w:val="263"/>
      </w:trPr>
      <w:tc>
        <w:tcPr>
          <w:tcW w:w="2430" w:type="dxa"/>
        </w:tcPr>
        <w:p w:rsidR="00580F76" w:rsidRDefault="00580F76">
          <w:pPr>
            <w:pStyle w:val="Header"/>
            <w:jc w:val="center"/>
            <w:rPr>
              <w:color w:val="1F497D" w:themeColor="text2"/>
              <w:sz w:val="6"/>
              <w:szCs w:val="6"/>
            </w:rPr>
          </w:pPr>
        </w:p>
        <w:p w:rsidR="00580F76" w:rsidRDefault="00580F76">
          <w:pPr>
            <w:pStyle w:val="Header"/>
            <w:jc w:val="center"/>
            <w:rPr>
              <w:b/>
              <w:color w:val="1F497D" w:themeColor="text2"/>
            </w:rPr>
          </w:pPr>
          <w:r>
            <w:rPr>
              <w:b/>
              <w:color w:val="1F497D" w:themeColor="text2"/>
            </w:rPr>
            <w:t>SAINT LOUIS UNIVERSITY</w:t>
          </w:r>
        </w:p>
      </w:tc>
      <w:tc>
        <w:tcPr>
          <w:tcW w:w="6390" w:type="dxa"/>
        </w:tcPr>
        <w:p w:rsidR="00580F76" w:rsidRDefault="00580F76">
          <w:pPr>
            <w:pStyle w:val="Header"/>
            <w:rPr>
              <w:color w:val="1F497D" w:themeColor="text2"/>
            </w:rPr>
          </w:pPr>
        </w:p>
      </w:tc>
      <w:tc>
        <w:tcPr>
          <w:tcW w:w="2880" w:type="dxa"/>
        </w:tcPr>
        <w:p w:rsidR="00580F76" w:rsidRDefault="00580F76">
          <w:pPr>
            <w:pStyle w:val="Header"/>
            <w:rPr>
              <w:color w:val="1F497D" w:themeColor="text2"/>
              <w:sz w:val="6"/>
              <w:szCs w:val="6"/>
            </w:rPr>
          </w:pPr>
        </w:p>
        <w:p w:rsidR="00580F76" w:rsidRDefault="00580F76">
          <w:pPr>
            <w:pStyle w:val="Header"/>
            <w:rPr>
              <w:b/>
              <w:color w:val="1F497D" w:themeColor="text2"/>
              <w:sz w:val="18"/>
              <w:szCs w:val="18"/>
            </w:rPr>
          </w:pPr>
          <w:r>
            <w:rPr>
              <w:b/>
              <w:color w:val="1F497D" w:themeColor="text2"/>
              <w:sz w:val="18"/>
              <w:szCs w:val="18"/>
            </w:rPr>
            <w:t>Institutional Review Board</w:t>
          </w:r>
        </w:p>
        <w:p w:rsidR="00580F76" w:rsidRDefault="00580F76">
          <w:pPr>
            <w:pStyle w:val="Header"/>
            <w:rPr>
              <w:color w:val="1F497D" w:themeColor="text2"/>
              <w:sz w:val="18"/>
              <w:szCs w:val="18"/>
            </w:rPr>
          </w:pPr>
          <w:r>
            <w:rPr>
              <w:b/>
              <w:color w:val="1F497D" w:themeColor="text2"/>
              <w:sz w:val="18"/>
              <w:szCs w:val="18"/>
            </w:rPr>
            <w:t>Assurance No. FWA00005304</w:t>
          </w:r>
        </w:p>
      </w:tc>
    </w:tr>
  </w:tbl>
  <w:p w:rsidR="001048B3" w:rsidRDefault="001048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D70"/>
    <w:rsid w:val="000868FA"/>
    <w:rsid w:val="001048B3"/>
    <w:rsid w:val="00107075"/>
    <w:rsid w:val="00352730"/>
    <w:rsid w:val="00381C0C"/>
    <w:rsid w:val="003C7A66"/>
    <w:rsid w:val="003D2E27"/>
    <w:rsid w:val="00450BB1"/>
    <w:rsid w:val="00525B69"/>
    <w:rsid w:val="00564402"/>
    <w:rsid w:val="00580F76"/>
    <w:rsid w:val="005A29E2"/>
    <w:rsid w:val="0067338B"/>
    <w:rsid w:val="008A68D1"/>
    <w:rsid w:val="009E6F92"/>
    <w:rsid w:val="00A104A6"/>
    <w:rsid w:val="00A83FD3"/>
    <w:rsid w:val="00C52D70"/>
    <w:rsid w:val="00C67CDA"/>
    <w:rsid w:val="00C72029"/>
    <w:rsid w:val="00E644B6"/>
    <w:rsid w:val="00EC0A66"/>
    <w:rsid w:val="00F460B3"/>
    <w:rsid w:val="00FC4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9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2D7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52D70"/>
  </w:style>
  <w:style w:type="paragraph" w:styleId="Footer">
    <w:name w:val="footer"/>
    <w:basedOn w:val="Normal"/>
    <w:link w:val="FooterChar"/>
    <w:uiPriority w:val="99"/>
    <w:unhideWhenUsed/>
    <w:rsid w:val="00C52D7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52D70"/>
  </w:style>
  <w:style w:type="table" w:styleId="TableGrid">
    <w:name w:val="Table Grid"/>
    <w:basedOn w:val="TableNormal"/>
    <w:uiPriority w:val="59"/>
    <w:rsid w:val="00C52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2D7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C52D70"/>
    <w:rPr>
      <w:rFonts w:ascii="Tahoma" w:hAnsi="Tahoma" w:cs="Tahoma"/>
      <w:sz w:val="16"/>
      <w:szCs w:val="16"/>
    </w:rPr>
  </w:style>
  <w:style w:type="paragraph" w:styleId="ListParagraph">
    <w:name w:val="List Paragraph"/>
    <w:basedOn w:val="Normal"/>
    <w:uiPriority w:val="34"/>
    <w:qFormat/>
    <w:rsid w:val="005A29E2"/>
    <w:pPr>
      <w:ind w:left="720"/>
      <w:contextualSpacing/>
    </w:pPr>
    <w:rPr>
      <w:rFonts w:eastAsia="Calibri"/>
      <w:szCs w:val="22"/>
    </w:rPr>
  </w:style>
  <w:style w:type="character" w:styleId="Hyperlink">
    <w:name w:val="Hyperlink"/>
    <w:rsid w:val="00F460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9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2D7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52D70"/>
  </w:style>
  <w:style w:type="paragraph" w:styleId="Footer">
    <w:name w:val="footer"/>
    <w:basedOn w:val="Normal"/>
    <w:link w:val="FooterChar"/>
    <w:uiPriority w:val="99"/>
    <w:unhideWhenUsed/>
    <w:rsid w:val="00C52D7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52D70"/>
  </w:style>
  <w:style w:type="table" w:styleId="TableGrid">
    <w:name w:val="Table Grid"/>
    <w:basedOn w:val="TableNormal"/>
    <w:uiPriority w:val="59"/>
    <w:rsid w:val="00C52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2D7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C52D70"/>
    <w:rPr>
      <w:rFonts w:ascii="Tahoma" w:hAnsi="Tahoma" w:cs="Tahoma"/>
      <w:sz w:val="16"/>
      <w:szCs w:val="16"/>
    </w:rPr>
  </w:style>
  <w:style w:type="paragraph" w:styleId="ListParagraph">
    <w:name w:val="List Paragraph"/>
    <w:basedOn w:val="Normal"/>
    <w:uiPriority w:val="34"/>
    <w:qFormat/>
    <w:rsid w:val="005A29E2"/>
    <w:pPr>
      <w:ind w:left="720"/>
      <w:contextualSpacing/>
    </w:pPr>
    <w:rPr>
      <w:rFonts w:eastAsia="Calibri"/>
      <w:szCs w:val="22"/>
    </w:rPr>
  </w:style>
  <w:style w:type="character" w:styleId="Hyperlink">
    <w:name w:val="Hyperlink"/>
    <w:rsid w:val="00F460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5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orumreview.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irb.com"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rb@slu.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mbresna1</dc:creator>
  <cp:lastModifiedBy>Melissa G. Fink</cp:lastModifiedBy>
  <cp:revision>3</cp:revision>
  <cp:lastPrinted>2013-09-23T13:34:00Z</cp:lastPrinted>
  <dcterms:created xsi:type="dcterms:W3CDTF">2018-07-19T22:51:00Z</dcterms:created>
  <dcterms:modified xsi:type="dcterms:W3CDTF">2018-07-19T22:52:00Z</dcterms:modified>
</cp:coreProperties>
</file>