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B18" w:rsidRPr="00A71517" w:rsidRDefault="009872B3" w:rsidP="00115236">
      <w:pPr>
        <w:spacing w:after="0" w:line="240" w:lineRule="auto"/>
        <w:jc w:val="center"/>
        <w:rPr>
          <w:rFonts w:asciiTheme="majorHAnsi" w:hAnsiTheme="majorHAnsi"/>
          <w:b/>
          <w:sz w:val="28"/>
          <w:szCs w:val="28"/>
        </w:rPr>
      </w:pPr>
      <w:r w:rsidRPr="00A71517">
        <w:rPr>
          <w:rFonts w:asciiTheme="majorHAnsi" w:hAnsiTheme="majorHAnsi"/>
          <w:b/>
          <w:sz w:val="28"/>
          <w:szCs w:val="28"/>
        </w:rPr>
        <w:t>List of Previous Emergency Uses of Test Articles at SLU</w:t>
      </w:r>
    </w:p>
    <w:p w:rsidR="00115236" w:rsidRDefault="00115236" w:rsidP="00115236">
      <w:pPr>
        <w:spacing w:after="0" w:line="240" w:lineRule="auto"/>
        <w:rPr>
          <w:rFonts w:asciiTheme="majorHAnsi" w:hAnsiTheme="majorHAnsi"/>
          <w:i/>
          <w:sz w:val="24"/>
          <w:szCs w:val="24"/>
        </w:rPr>
      </w:pPr>
    </w:p>
    <w:p w:rsidR="00115236" w:rsidRDefault="009872B3" w:rsidP="00115236">
      <w:pPr>
        <w:spacing w:after="0" w:line="240" w:lineRule="auto"/>
        <w:rPr>
          <w:rFonts w:asciiTheme="majorHAnsi" w:hAnsiTheme="majorHAnsi"/>
          <w:i/>
          <w:sz w:val="24"/>
          <w:szCs w:val="24"/>
        </w:rPr>
      </w:pPr>
      <w:r w:rsidRPr="009872B3">
        <w:rPr>
          <w:rFonts w:asciiTheme="majorHAnsi" w:hAnsiTheme="majorHAnsi"/>
          <w:i/>
          <w:sz w:val="24"/>
          <w:szCs w:val="24"/>
        </w:rPr>
        <w:t>FDA regulations require that any subsequent use of the investigational product at the institution have prospective IRB review and approval.  FDA acknowledges, however, that it would be inappropriate to deny emergency treatment to a second individual if the only obstacle is that the IRB has not had sufficient time to convene a meeting to review the issue.</w:t>
      </w:r>
    </w:p>
    <w:p w:rsidR="009872B3" w:rsidRDefault="009872B3" w:rsidP="00115236">
      <w:pPr>
        <w:spacing w:after="0" w:line="240" w:lineRule="auto"/>
        <w:rPr>
          <w:rFonts w:asciiTheme="majorHAnsi" w:hAnsiTheme="majorHAnsi"/>
          <w:i/>
          <w:sz w:val="24"/>
          <w:szCs w:val="24"/>
        </w:rPr>
      </w:pPr>
      <w:r w:rsidRPr="009872B3">
        <w:rPr>
          <w:rFonts w:asciiTheme="majorHAnsi" w:hAnsiTheme="majorHAnsi"/>
          <w:i/>
          <w:sz w:val="24"/>
          <w:szCs w:val="24"/>
        </w:rPr>
        <w:t xml:space="preserve"> </w:t>
      </w:r>
    </w:p>
    <w:tbl>
      <w:tblPr>
        <w:tblStyle w:val="TableGrid"/>
        <w:tblW w:w="0" w:type="auto"/>
        <w:jc w:val="center"/>
        <w:tblLook w:val="04A0" w:firstRow="1" w:lastRow="0" w:firstColumn="1" w:lastColumn="0" w:noHBand="0" w:noVBand="1"/>
      </w:tblPr>
      <w:tblGrid>
        <w:gridCol w:w="6565"/>
      </w:tblGrid>
      <w:tr w:rsidR="009872B3" w:rsidTr="004C43F5">
        <w:trPr>
          <w:jc w:val="center"/>
        </w:trPr>
        <w:tc>
          <w:tcPr>
            <w:tcW w:w="6565" w:type="dxa"/>
          </w:tcPr>
          <w:p w:rsidR="009872B3" w:rsidRPr="009872B3" w:rsidRDefault="009872B3" w:rsidP="00115236">
            <w:pPr>
              <w:jc w:val="center"/>
              <w:rPr>
                <w:rFonts w:asciiTheme="majorHAnsi" w:hAnsiTheme="majorHAnsi"/>
                <w:b/>
                <w:sz w:val="24"/>
                <w:szCs w:val="24"/>
              </w:rPr>
            </w:pPr>
            <w:r w:rsidRPr="009872B3">
              <w:rPr>
                <w:rFonts w:asciiTheme="majorHAnsi" w:hAnsiTheme="majorHAnsi"/>
                <w:b/>
                <w:sz w:val="24"/>
                <w:szCs w:val="24"/>
              </w:rPr>
              <w:t>Test Article*</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Adefovir Dipivoxil</w:t>
            </w:r>
          </w:p>
        </w:tc>
      </w:tr>
      <w:tr w:rsidR="009872B3" w:rsidRPr="009872B3" w:rsidTr="004C43F5">
        <w:trPr>
          <w:jc w:val="center"/>
        </w:trPr>
        <w:tc>
          <w:tcPr>
            <w:tcW w:w="6565" w:type="dxa"/>
          </w:tcPr>
          <w:p w:rsidR="009872B3" w:rsidRPr="009872B3" w:rsidRDefault="00B12A46" w:rsidP="00115236">
            <w:pPr>
              <w:jc w:val="both"/>
              <w:rPr>
                <w:rFonts w:asciiTheme="majorHAnsi" w:hAnsiTheme="majorHAnsi"/>
                <w:sz w:val="24"/>
                <w:szCs w:val="24"/>
              </w:rPr>
            </w:pPr>
            <w:r>
              <w:rPr>
                <w:rFonts w:asciiTheme="majorHAnsi" w:hAnsiTheme="majorHAnsi"/>
                <w:sz w:val="24"/>
                <w:szCs w:val="24"/>
              </w:rPr>
              <w:t>ALIMTA</w:t>
            </w:r>
            <w:r w:rsidR="009872B3">
              <w:rPr>
                <w:rFonts w:asciiTheme="majorHAnsi" w:hAnsiTheme="majorHAnsi"/>
                <w:sz w:val="24"/>
                <w:szCs w:val="24"/>
              </w:rPr>
              <w:t>® (pemetrexed)</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All-Trans Retinoic Acid (ATRA) IV (Liposomal-Tretinoin)</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Amiodarone I.V.</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Amphotericin B Lipid Complex (ABLC)</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AR623-41 (Liposomal Retinoic Acid)</w:t>
            </w:r>
          </w:p>
        </w:tc>
      </w:tr>
      <w:tr w:rsidR="00115236" w:rsidRPr="009872B3" w:rsidTr="004C43F5">
        <w:trPr>
          <w:jc w:val="center"/>
        </w:trPr>
        <w:tc>
          <w:tcPr>
            <w:tcW w:w="6565" w:type="dxa"/>
          </w:tcPr>
          <w:p w:rsidR="00115236" w:rsidRDefault="00115236" w:rsidP="00115236">
            <w:pPr>
              <w:jc w:val="both"/>
              <w:rPr>
                <w:rFonts w:asciiTheme="majorHAnsi" w:hAnsiTheme="majorHAnsi"/>
                <w:sz w:val="24"/>
                <w:szCs w:val="24"/>
              </w:rPr>
            </w:pPr>
            <w:proofErr w:type="spellStart"/>
            <w:r>
              <w:rPr>
                <w:rFonts w:asciiTheme="majorHAnsi" w:hAnsiTheme="majorHAnsi"/>
                <w:sz w:val="24"/>
                <w:szCs w:val="24"/>
              </w:rPr>
              <w:t>Brincidofovir</w:t>
            </w:r>
            <w:proofErr w:type="spellEnd"/>
          </w:p>
        </w:tc>
      </w:tr>
      <w:tr w:rsidR="00A509E0" w:rsidRPr="009872B3" w:rsidTr="004C43F5">
        <w:trPr>
          <w:jc w:val="center"/>
        </w:trPr>
        <w:tc>
          <w:tcPr>
            <w:tcW w:w="6565" w:type="dxa"/>
          </w:tcPr>
          <w:p w:rsidR="00A509E0" w:rsidRDefault="00A509E0" w:rsidP="00115236">
            <w:pPr>
              <w:jc w:val="both"/>
              <w:rPr>
                <w:rFonts w:asciiTheme="majorHAnsi" w:hAnsiTheme="majorHAnsi"/>
                <w:sz w:val="24"/>
                <w:szCs w:val="24"/>
              </w:rPr>
            </w:pPr>
            <w:proofErr w:type="spellStart"/>
            <w:r w:rsidRPr="00A509E0">
              <w:rPr>
                <w:rFonts w:asciiTheme="majorHAnsi" w:hAnsiTheme="majorHAnsi"/>
                <w:sz w:val="24"/>
                <w:szCs w:val="24"/>
              </w:rPr>
              <w:t>Caplacizumab</w:t>
            </w:r>
            <w:proofErr w:type="spellEnd"/>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proofErr w:type="spellStart"/>
            <w:r>
              <w:rPr>
                <w:rFonts w:asciiTheme="majorHAnsi" w:hAnsiTheme="majorHAnsi"/>
                <w:sz w:val="24"/>
                <w:szCs w:val="24"/>
              </w:rPr>
              <w:t>Ceprate</w:t>
            </w:r>
            <w:proofErr w:type="spellEnd"/>
            <w:r>
              <w:rPr>
                <w:rFonts w:asciiTheme="majorHAnsi" w:hAnsiTheme="majorHAnsi"/>
                <w:sz w:val="24"/>
                <w:szCs w:val="24"/>
              </w:rPr>
              <w:t xml:space="preserve"> TCD System</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Compound 506U78</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Defibrotide</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Extracorporeal Porcine Hepatocyte Perfusion</w:t>
            </w:r>
          </w:p>
        </w:tc>
      </w:tr>
      <w:tr w:rsidR="00115236" w:rsidRPr="009872B3" w:rsidTr="004C43F5">
        <w:trPr>
          <w:jc w:val="center"/>
        </w:trPr>
        <w:tc>
          <w:tcPr>
            <w:tcW w:w="6565" w:type="dxa"/>
          </w:tcPr>
          <w:p w:rsidR="00115236" w:rsidRDefault="00115236" w:rsidP="00115236">
            <w:pPr>
              <w:jc w:val="both"/>
              <w:rPr>
                <w:rFonts w:asciiTheme="majorHAnsi" w:hAnsiTheme="majorHAnsi"/>
                <w:sz w:val="24"/>
                <w:szCs w:val="24"/>
              </w:rPr>
            </w:pPr>
            <w:proofErr w:type="spellStart"/>
            <w:r w:rsidRPr="00115236">
              <w:rPr>
                <w:rFonts w:asciiTheme="majorHAnsi" w:hAnsiTheme="majorHAnsi"/>
                <w:sz w:val="24"/>
                <w:szCs w:val="24"/>
              </w:rPr>
              <w:t>Gilteritinib</w:t>
            </w:r>
            <w:proofErr w:type="spellEnd"/>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I.V. Sodium Benzoate and Sodium Pheylbutyrate</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bookmarkStart w:id="0" w:name="_GoBack"/>
            <w:r>
              <w:rPr>
                <w:rFonts w:asciiTheme="majorHAnsi" w:hAnsiTheme="majorHAnsi"/>
                <w:sz w:val="24"/>
                <w:szCs w:val="24"/>
              </w:rPr>
              <w:t>Inhaled Nitric Oxide</w:t>
            </w:r>
          </w:p>
        </w:tc>
      </w:tr>
      <w:bookmarkEnd w:id="0"/>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Linezolid</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m-(131l) Iodobenzylguanadine</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Mylotarg</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Nitric Oxide</w:t>
            </w:r>
          </w:p>
        </w:tc>
      </w:tr>
      <w:tr w:rsidR="009872B3" w:rsidRPr="009872B3" w:rsidTr="004C43F5">
        <w:trPr>
          <w:jc w:val="center"/>
        </w:trPr>
        <w:tc>
          <w:tcPr>
            <w:tcW w:w="6565" w:type="dxa"/>
          </w:tcPr>
          <w:p w:rsidR="009872B3" w:rsidRPr="009872B3" w:rsidRDefault="009872B3" w:rsidP="00115236">
            <w:pPr>
              <w:jc w:val="both"/>
              <w:rPr>
                <w:rFonts w:asciiTheme="majorHAnsi" w:hAnsiTheme="majorHAnsi"/>
                <w:sz w:val="24"/>
                <w:szCs w:val="24"/>
              </w:rPr>
            </w:pPr>
            <w:r>
              <w:rPr>
                <w:rFonts w:asciiTheme="majorHAnsi" w:hAnsiTheme="majorHAnsi"/>
                <w:sz w:val="24"/>
                <w:szCs w:val="24"/>
              </w:rPr>
              <w:t>Pantethine</w:t>
            </w:r>
          </w:p>
        </w:tc>
      </w:tr>
      <w:tr w:rsidR="009872B3" w:rsidRPr="009872B3" w:rsidTr="004C43F5">
        <w:trPr>
          <w:jc w:val="center"/>
        </w:trPr>
        <w:tc>
          <w:tcPr>
            <w:tcW w:w="6565" w:type="dxa"/>
          </w:tcPr>
          <w:p w:rsidR="00B042C9" w:rsidRPr="009872B3" w:rsidRDefault="00B042C9" w:rsidP="00115236">
            <w:pPr>
              <w:jc w:val="both"/>
              <w:rPr>
                <w:rFonts w:asciiTheme="majorHAnsi" w:hAnsiTheme="majorHAnsi"/>
                <w:sz w:val="24"/>
                <w:szCs w:val="24"/>
              </w:rPr>
            </w:pPr>
            <w:r>
              <w:rPr>
                <w:rFonts w:asciiTheme="majorHAnsi" w:hAnsiTheme="majorHAnsi"/>
                <w:sz w:val="24"/>
                <w:szCs w:val="24"/>
              </w:rPr>
              <w:t>Pleconaril</w:t>
            </w:r>
          </w:p>
        </w:tc>
      </w:tr>
      <w:tr w:rsidR="009872B3" w:rsidRPr="009872B3" w:rsidTr="004C43F5">
        <w:trPr>
          <w:jc w:val="center"/>
        </w:trPr>
        <w:tc>
          <w:tcPr>
            <w:tcW w:w="6565" w:type="dxa"/>
          </w:tcPr>
          <w:p w:rsidR="009872B3" w:rsidRPr="009872B3" w:rsidRDefault="00B042C9" w:rsidP="00115236">
            <w:pPr>
              <w:jc w:val="both"/>
              <w:rPr>
                <w:rFonts w:asciiTheme="majorHAnsi" w:hAnsiTheme="majorHAnsi"/>
                <w:sz w:val="24"/>
                <w:szCs w:val="24"/>
              </w:rPr>
            </w:pPr>
            <w:r>
              <w:rPr>
                <w:rFonts w:asciiTheme="majorHAnsi" w:hAnsiTheme="majorHAnsi"/>
                <w:sz w:val="24"/>
                <w:szCs w:val="24"/>
              </w:rPr>
              <w:t>Prochymal</w:t>
            </w:r>
          </w:p>
        </w:tc>
      </w:tr>
      <w:tr w:rsidR="009872B3" w:rsidRPr="009872B3" w:rsidTr="004C43F5">
        <w:trPr>
          <w:jc w:val="center"/>
        </w:trPr>
        <w:tc>
          <w:tcPr>
            <w:tcW w:w="6565" w:type="dxa"/>
          </w:tcPr>
          <w:p w:rsidR="009872B3" w:rsidRPr="009872B3" w:rsidRDefault="00B042C9" w:rsidP="00115236">
            <w:pPr>
              <w:jc w:val="both"/>
              <w:rPr>
                <w:rFonts w:asciiTheme="majorHAnsi" w:hAnsiTheme="majorHAnsi"/>
                <w:sz w:val="24"/>
                <w:szCs w:val="24"/>
              </w:rPr>
            </w:pPr>
            <w:r>
              <w:rPr>
                <w:rFonts w:asciiTheme="majorHAnsi" w:hAnsiTheme="majorHAnsi"/>
                <w:sz w:val="24"/>
                <w:szCs w:val="24"/>
              </w:rPr>
              <w:t>Recombinant Human Activated Protein C</w:t>
            </w:r>
          </w:p>
        </w:tc>
      </w:tr>
      <w:tr w:rsidR="009872B3" w:rsidRPr="009872B3" w:rsidTr="004C43F5">
        <w:trPr>
          <w:jc w:val="center"/>
        </w:trPr>
        <w:tc>
          <w:tcPr>
            <w:tcW w:w="6565" w:type="dxa"/>
          </w:tcPr>
          <w:p w:rsidR="009872B3" w:rsidRPr="009872B3" w:rsidRDefault="00B042C9" w:rsidP="00115236">
            <w:pPr>
              <w:jc w:val="both"/>
              <w:rPr>
                <w:rFonts w:asciiTheme="majorHAnsi" w:hAnsiTheme="majorHAnsi"/>
                <w:sz w:val="24"/>
                <w:szCs w:val="24"/>
              </w:rPr>
            </w:pPr>
            <w:r>
              <w:rPr>
                <w:rFonts w:asciiTheme="majorHAnsi" w:hAnsiTheme="majorHAnsi"/>
                <w:sz w:val="24"/>
                <w:szCs w:val="24"/>
              </w:rPr>
              <w:t>Respiratory Syncytial Virus Immune Globulin Intravenous</w:t>
            </w:r>
          </w:p>
        </w:tc>
      </w:tr>
      <w:tr w:rsidR="009872B3" w:rsidRPr="009872B3" w:rsidTr="004C43F5">
        <w:trPr>
          <w:jc w:val="center"/>
        </w:trPr>
        <w:tc>
          <w:tcPr>
            <w:tcW w:w="6565" w:type="dxa"/>
          </w:tcPr>
          <w:p w:rsidR="009872B3" w:rsidRPr="009872B3" w:rsidRDefault="00B042C9" w:rsidP="00115236">
            <w:pPr>
              <w:jc w:val="both"/>
              <w:rPr>
                <w:rFonts w:asciiTheme="majorHAnsi" w:hAnsiTheme="majorHAnsi"/>
                <w:sz w:val="24"/>
                <w:szCs w:val="24"/>
              </w:rPr>
            </w:pPr>
            <w:r>
              <w:rPr>
                <w:rFonts w:asciiTheme="majorHAnsi" w:hAnsiTheme="majorHAnsi"/>
                <w:sz w:val="24"/>
                <w:szCs w:val="24"/>
              </w:rPr>
              <w:t>Sofosbuvir</w:t>
            </w:r>
          </w:p>
        </w:tc>
      </w:tr>
      <w:tr w:rsidR="009872B3" w:rsidRPr="009872B3" w:rsidTr="004C43F5">
        <w:trPr>
          <w:jc w:val="center"/>
        </w:trPr>
        <w:tc>
          <w:tcPr>
            <w:tcW w:w="6565" w:type="dxa"/>
          </w:tcPr>
          <w:p w:rsidR="009872B3" w:rsidRPr="009872B3" w:rsidRDefault="00B042C9" w:rsidP="00115236">
            <w:pPr>
              <w:jc w:val="both"/>
              <w:rPr>
                <w:rFonts w:asciiTheme="majorHAnsi" w:hAnsiTheme="majorHAnsi"/>
                <w:sz w:val="24"/>
                <w:szCs w:val="24"/>
              </w:rPr>
            </w:pPr>
            <w:r>
              <w:rPr>
                <w:rFonts w:asciiTheme="majorHAnsi" w:hAnsiTheme="majorHAnsi"/>
                <w:sz w:val="24"/>
                <w:szCs w:val="24"/>
              </w:rPr>
              <w:t>Sygen</w:t>
            </w:r>
          </w:p>
        </w:tc>
      </w:tr>
      <w:tr w:rsidR="00B042C9" w:rsidRPr="009872B3" w:rsidTr="004C43F5">
        <w:trPr>
          <w:jc w:val="center"/>
        </w:trPr>
        <w:tc>
          <w:tcPr>
            <w:tcW w:w="6565" w:type="dxa"/>
          </w:tcPr>
          <w:p w:rsidR="00B042C9" w:rsidRPr="009872B3" w:rsidRDefault="00B042C9" w:rsidP="00115236">
            <w:pPr>
              <w:jc w:val="both"/>
              <w:rPr>
                <w:rFonts w:asciiTheme="majorHAnsi" w:hAnsiTheme="majorHAnsi"/>
                <w:sz w:val="24"/>
                <w:szCs w:val="24"/>
              </w:rPr>
            </w:pPr>
            <w:r>
              <w:rPr>
                <w:rFonts w:asciiTheme="majorHAnsi" w:hAnsiTheme="majorHAnsi"/>
                <w:sz w:val="24"/>
                <w:szCs w:val="24"/>
              </w:rPr>
              <w:t>Synercid</w:t>
            </w:r>
          </w:p>
        </w:tc>
      </w:tr>
      <w:tr w:rsidR="00B042C9" w:rsidRPr="009872B3" w:rsidTr="004C43F5">
        <w:trPr>
          <w:jc w:val="center"/>
        </w:trPr>
        <w:tc>
          <w:tcPr>
            <w:tcW w:w="6565" w:type="dxa"/>
          </w:tcPr>
          <w:p w:rsidR="00B042C9" w:rsidRPr="009872B3" w:rsidRDefault="00B042C9" w:rsidP="00115236">
            <w:pPr>
              <w:jc w:val="both"/>
              <w:rPr>
                <w:rFonts w:asciiTheme="majorHAnsi" w:hAnsiTheme="majorHAnsi"/>
                <w:sz w:val="24"/>
                <w:szCs w:val="24"/>
              </w:rPr>
            </w:pPr>
            <w:r>
              <w:rPr>
                <w:rFonts w:asciiTheme="majorHAnsi" w:hAnsiTheme="majorHAnsi"/>
                <w:sz w:val="24"/>
                <w:szCs w:val="24"/>
              </w:rPr>
              <w:t>Temodal</w:t>
            </w:r>
          </w:p>
        </w:tc>
      </w:tr>
      <w:tr w:rsidR="00B042C9" w:rsidRPr="009872B3" w:rsidTr="004C43F5">
        <w:trPr>
          <w:jc w:val="center"/>
        </w:trPr>
        <w:tc>
          <w:tcPr>
            <w:tcW w:w="6565" w:type="dxa"/>
          </w:tcPr>
          <w:p w:rsidR="00B042C9" w:rsidRPr="009872B3" w:rsidRDefault="00B042C9" w:rsidP="00115236">
            <w:pPr>
              <w:jc w:val="both"/>
              <w:rPr>
                <w:rFonts w:asciiTheme="majorHAnsi" w:hAnsiTheme="majorHAnsi"/>
                <w:sz w:val="24"/>
                <w:szCs w:val="24"/>
              </w:rPr>
            </w:pPr>
            <w:r>
              <w:rPr>
                <w:rFonts w:asciiTheme="majorHAnsi" w:hAnsiTheme="majorHAnsi"/>
                <w:sz w:val="24"/>
                <w:szCs w:val="24"/>
              </w:rPr>
              <w:t>Tertrahydrobiopterin</w:t>
            </w:r>
          </w:p>
        </w:tc>
      </w:tr>
      <w:tr w:rsidR="00B042C9" w:rsidRPr="009872B3" w:rsidTr="004C43F5">
        <w:trPr>
          <w:jc w:val="center"/>
        </w:trPr>
        <w:tc>
          <w:tcPr>
            <w:tcW w:w="6565" w:type="dxa"/>
          </w:tcPr>
          <w:p w:rsidR="00B042C9" w:rsidRPr="009872B3" w:rsidRDefault="00B042C9" w:rsidP="00115236">
            <w:pPr>
              <w:jc w:val="both"/>
              <w:rPr>
                <w:rFonts w:asciiTheme="majorHAnsi" w:hAnsiTheme="majorHAnsi"/>
                <w:sz w:val="24"/>
                <w:szCs w:val="24"/>
              </w:rPr>
            </w:pPr>
            <w:r>
              <w:rPr>
                <w:rFonts w:asciiTheme="majorHAnsi" w:hAnsiTheme="majorHAnsi"/>
                <w:sz w:val="24"/>
                <w:szCs w:val="24"/>
              </w:rPr>
              <w:t>Thalidomide</w:t>
            </w:r>
          </w:p>
        </w:tc>
      </w:tr>
      <w:tr w:rsidR="00B042C9" w:rsidRPr="009872B3" w:rsidTr="004C43F5">
        <w:trPr>
          <w:jc w:val="center"/>
        </w:trPr>
        <w:tc>
          <w:tcPr>
            <w:tcW w:w="6565" w:type="dxa"/>
          </w:tcPr>
          <w:p w:rsidR="00B042C9" w:rsidRPr="009872B3" w:rsidRDefault="00B042C9" w:rsidP="00115236">
            <w:pPr>
              <w:jc w:val="both"/>
              <w:rPr>
                <w:rFonts w:asciiTheme="majorHAnsi" w:hAnsiTheme="majorHAnsi"/>
                <w:sz w:val="24"/>
                <w:szCs w:val="24"/>
              </w:rPr>
            </w:pPr>
            <w:r>
              <w:rPr>
                <w:rFonts w:asciiTheme="majorHAnsi" w:hAnsiTheme="majorHAnsi"/>
                <w:sz w:val="24"/>
                <w:szCs w:val="24"/>
              </w:rPr>
              <w:t>Thymosin- -1</w:t>
            </w:r>
          </w:p>
        </w:tc>
      </w:tr>
      <w:tr w:rsidR="00B042C9" w:rsidRPr="009872B3" w:rsidTr="004C43F5">
        <w:trPr>
          <w:jc w:val="center"/>
        </w:trPr>
        <w:tc>
          <w:tcPr>
            <w:tcW w:w="6565" w:type="dxa"/>
          </w:tcPr>
          <w:p w:rsidR="00B042C9" w:rsidRPr="009872B3" w:rsidRDefault="00B042C9" w:rsidP="00115236">
            <w:pPr>
              <w:jc w:val="both"/>
              <w:rPr>
                <w:rFonts w:asciiTheme="majorHAnsi" w:hAnsiTheme="majorHAnsi"/>
                <w:sz w:val="24"/>
                <w:szCs w:val="24"/>
              </w:rPr>
            </w:pPr>
            <w:r>
              <w:rPr>
                <w:rFonts w:asciiTheme="majorHAnsi" w:hAnsiTheme="majorHAnsi"/>
                <w:sz w:val="24"/>
                <w:szCs w:val="24"/>
              </w:rPr>
              <w:t>TPI 287</w:t>
            </w:r>
          </w:p>
        </w:tc>
      </w:tr>
      <w:tr w:rsidR="00B042C9" w:rsidRPr="009872B3" w:rsidTr="004C43F5">
        <w:trPr>
          <w:jc w:val="center"/>
        </w:trPr>
        <w:tc>
          <w:tcPr>
            <w:tcW w:w="6565" w:type="dxa"/>
          </w:tcPr>
          <w:p w:rsidR="00B042C9" w:rsidRPr="009872B3" w:rsidRDefault="00B042C9" w:rsidP="00115236">
            <w:pPr>
              <w:jc w:val="both"/>
              <w:rPr>
                <w:rFonts w:asciiTheme="majorHAnsi" w:hAnsiTheme="majorHAnsi"/>
                <w:sz w:val="24"/>
                <w:szCs w:val="24"/>
              </w:rPr>
            </w:pPr>
            <w:r>
              <w:rPr>
                <w:rFonts w:asciiTheme="majorHAnsi" w:hAnsiTheme="majorHAnsi"/>
                <w:sz w:val="24"/>
                <w:szCs w:val="24"/>
              </w:rPr>
              <w:t>Voraxaze</w:t>
            </w:r>
          </w:p>
        </w:tc>
      </w:tr>
      <w:tr w:rsidR="00B042C9" w:rsidRPr="009872B3" w:rsidTr="004C43F5">
        <w:trPr>
          <w:jc w:val="center"/>
        </w:trPr>
        <w:tc>
          <w:tcPr>
            <w:tcW w:w="6565" w:type="dxa"/>
          </w:tcPr>
          <w:p w:rsidR="00B042C9" w:rsidRPr="009872B3" w:rsidRDefault="00B042C9" w:rsidP="00115236">
            <w:pPr>
              <w:jc w:val="both"/>
              <w:rPr>
                <w:rFonts w:asciiTheme="majorHAnsi" w:hAnsiTheme="majorHAnsi"/>
                <w:sz w:val="24"/>
                <w:szCs w:val="24"/>
              </w:rPr>
            </w:pPr>
            <w:r>
              <w:rPr>
                <w:rFonts w:asciiTheme="majorHAnsi" w:hAnsiTheme="majorHAnsi"/>
                <w:sz w:val="24"/>
                <w:szCs w:val="24"/>
              </w:rPr>
              <w:t>VSD Closure Device by AGA</w:t>
            </w:r>
          </w:p>
        </w:tc>
      </w:tr>
    </w:tbl>
    <w:p w:rsidR="00B042C9" w:rsidRDefault="00B042C9" w:rsidP="00115236">
      <w:pPr>
        <w:spacing w:after="0" w:line="240" w:lineRule="auto"/>
        <w:jc w:val="both"/>
        <w:rPr>
          <w:rFonts w:asciiTheme="majorHAnsi" w:hAnsiTheme="majorHAnsi"/>
          <w:sz w:val="24"/>
          <w:szCs w:val="24"/>
        </w:rPr>
      </w:pPr>
    </w:p>
    <w:p w:rsidR="00A509E0" w:rsidRDefault="00B042C9" w:rsidP="00115236">
      <w:pPr>
        <w:spacing w:after="0" w:line="240" w:lineRule="auto"/>
        <w:jc w:val="both"/>
        <w:rPr>
          <w:rFonts w:asciiTheme="majorHAnsi" w:hAnsiTheme="majorHAnsi"/>
          <w:i/>
          <w:sz w:val="20"/>
          <w:szCs w:val="20"/>
        </w:rPr>
      </w:pPr>
      <w:r w:rsidRPr="00115236">
        <w:rPr>
          <w:rFonts w:asciiTheme="majorHAnsi" w:hAnsiTheme="majorHAnsi"/>
          <w:i/>
          <w:sz w:val="20"/>
          <w:szCs w:val="20"/>
        </w:rPr>
        <w:t>*Please note: Test articles are listed by the name reported to the IRB.  Please look for a product by known trade name</w:t>
      </w:r>
      <w:r w:rsidR="00A71517" w:rsidRPr="00115236">
        <w:rPr>
          <w:rFonts w:asciiTheme="majorHAnsi" w:hAnsiTheme="majorHAnsi"/>
          <w:i/>
          <w:sz w:val="20"/>
          <w:szCs w:val="20"/>
        </w:rPr>
        <w:t>s, generic names, or common mis</w:t>
      </w:r>
      <w:r w:rsidRPr="00115236">
        <w:rPr>
          <w:rFonts w:asciiTheme="majorHAnsi" w:hAnsiTheme="majorHAnsi"/>
          <w:i/>
          <w:sz w:val="20"/>
          <w:szCs w:val="20"/>
        </w:rPr>
        <w:t xml:space="preserve">spellings. </w:t>
      </w:r>
    </w:p>
    <w:p w:rsidR="00A509E0" w:rsidRPr="00A509E0" w:rsidRDefault="00A509E0" w:rsidP="00A509E0">
      <w:pPr>
        <w:rPr>
          <w:rFonts w:asciiTheme="majorHAnsi" w:hAnsiTheme="majorHAnsi"/>
          <w:sz w:val="20"/>
          <w:szCs w:val="20"/>
        </w:rPr>
      </w:pPr>
    </w:p>
    <w:p w:rsidR="00B042C9" w:rsidRPr="00A509E0" w:rsidRDefault="00A509E0" w:rsidP="00A509E0">
      <w:pPr>
        <w:tabs>
          <w:tab w:val="left" w:pos="1590"/>
        </w:tabs>
        <w:rPr>
          <w:rFonts w:asciiTheme="majorHAnsi" w:hAnsiTheme="majorHAnsi"/>
          <w:sz w:val="20"/>
          <w:szCs w:val="20"/>
        </w:rPr>
      </w:pPr>
      <w:r>
        <w:rPr>
          <w:rFonts w:asciiTheme="majorHAnsi" w:hAnsiTheme="majorHAnsi"/>
          <w:sz w:val="20"/>
          <w:szCs w:val="20"/>
        </w:rPr>
        <w:tab/>
      </w:r>
    </w:p>
    <w:sectPr w:rsidR="00B042C9" w:rsidRPr="00A509E0" w:rsidSect="00B042C9">
      <w:footerReference w:type="default" r:id="rId6"/>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5E" w:rsidRDefault="00CF725E" w:rsidP="00CF725E">
      <w:pPr>
        <w:spacing w:after="0" w:line="240" w:lineRule="auto"/>
      </w:pPr>
      <w:r>
        <w:separator/>
      </w:r>
    </w:p>
  </w:endnote>
  <w:endnote w:type="continuationSeparator" w:id="0">
    <w:p w:rsidR="00CF725E" w:rsidRDefault="00CF725E" w:rsidP="00CF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5E" w:rsidRPr="00CF725E" w:rsidRDefault="00CF725E">
    <w:pPr>
      <w:pStyle w:val="Footer"/>
      <w:rPr>
        <w:rFonts w:asciiTheme="majorHAnsi" w:hAnsiTheme="majorHAnsi"/>
      </w:rPr>
    </w:pPr>
    <w:r w:rsidRPr="00CF725E">
      <w:rPr>
        <w:rFonts w:asciiTheme="majorHAnsi" w:hAnsiTheme="majorHAnsi"/>
      </w:rPr>
      <w:t xml:space="preserve">Version Date:  </w:t>
    </w:r>
    <w:r w:rsidR="00A509E0">
      <w:rPr>
        <w:rFonts w:asciiTheme="majorHAnsi" w:hAnsiTheme="majorHAnsi"/>
      </w:rPr>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5E" w:rsidRDefault="00CF725E" w:rsidP="00CF725E">
      <w:pPr>
        <w:spacing w:after="0" w:line="240" w:lineRule="auto"/>
      </w:pPr>
      <w:r>
        <w:separator/>
      </w:r>
    </w:p>
  </w:footnote>
  <w:footnote w:type="continuationSeparator" w:id="0">
    <w:p w:rsidR="00CF725E" w:rsidRDefault="00CF725E" w:rsidP="00CF72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B3"/>
    <w:rsid w:val="00115236"/>
    <w:rsid w:val="004A0B18"/>
    <w:rsid w:val="004C43F5"/>
    <w:rsid w:val="009872B3"/>
    <w:rsid w:val="00A509E0"/>
    <w:rsid w:val="00A71517"/>
    <w:rsid w:val="00B042C9"/>
    <w:rsid w:val="00B12A46"/>
    <w:rsid w:val="00CF725E"/>
    <w:rsid w:val="00F1698B"/>
    <w:rsid w:val="00F9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4179"/>
  <w15:docId w15:val="{FE744149-1C78-46A9-A8BC-8C0A71A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87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25E"/>
  </w:style>
  <w:style w:type="paragraph" w:styleId="Footer">
    <w:name w:val="footer"/>
    <w:basedOn w:val="Normal"/>
    <w:link w:val="FooterChar"/>
    <w:uiPriority w:val="99"/>
    <w:unhideWhenUsed/>
    <w:rsid w:val="00CF7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Fitzgerald</dc:creator>
  <cp:lastModifiedBy>Maureen Bresnahan</cp:lastModifiedBy>
  <cp:revision>2</cp:revision>
  <cp:lastPrinted>2018-07-20T18:32:00Z</cp:lastPrinted>
  <dcterms:created xsi:type="dcterms:W3CDTF">2018-10-12T19:58:00Z</dcterms:created>
  <dcterms:modified xsi:type="dcterms:W3CDTF">2018-10-12T19:58:00Z</dcterms:modified>
</cp:coreProperties>
</file>