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D93" w:rsidRPr="00CD729A" w:rsidRDefault="00ED1D93" w:rsidP="00D02045">
      <w:pPr>
        <w:rPr>
          <w:rFonts w:asciiTheme="minorHAnsi" w:hAnsiTheme="minorHAnsi" w:cstheme="minorHAnsi"/>
          <w:b/>
          <w:sz w:val="22"/>
          <w:szCs w:val="22"/>
        </w:rPr>
      </w:pPr>
      <w:r w:rsidRPr="00CD729A">
        <w:rPr>
          <w:rFonts w:asciiTheme="minorHAnsi" w:hAnsiTheme="minorHAnsi" w:cstheme="minorHAnsi"/>
          <w:b/>
          <w:sz w:val="22"/>
          <w:szCs w:val="22"/>
        </w:rPr>
        <w:t>Definitions</w:t>
      </w:r>
    </w:p>
    <w:p w:rsidR="00ED1D93" w:rsidRPr="00CD729A" w:rsidRDefault="00ED1D93" w:rsidP="00D02045">
      <w:pPr>
        <w:rPr>
          <w:rFonts w:asciiTheme="minorHAnsi" w:hAnsiTheme="minorHAnsi" w:cstheme="minorHAnsi"/>
          <w:b/>
          <w:sz w:val="22"/>
          <w:szCs w:val="22"/>
        </w:rPr>
      </w:pPr>
    </w:p>
    <w:p w:rsidR="00D02045" w:rsidRPr="00CD729A" w:rsidRDefault="00D02045" w:rsidP="00D02045">
      <w:pPr>
        <w:rPr>
          <w:rFonts w:asciiTheme="minorHAnsi" w:hAnsiTheme="minorHAnsi" w:cstheme="minorHAnsi"/>
          <w:sz w:val="22"/>
          <w:szCs w:val="22"/>
        </w:rPr>
      </w:pPr>
      <w:r w:rsidRPr="00CD729A">
        <w:rPr>
          <w:rFonts w:asciiTheme="minorHAnsi" w:hAnsiTheme="minorHAnsi" w:cstheme="minorHAnsi"/>
          <w:b/>
          <w:sz w:val="22"/>
          <w:szCs w:val="22"/>
        </w:rPr>
        <w:t>University Indemnification</w:t>
      </w:r>
      <w:r w:rsidR="00EE3E29" w:rsidRPr="00CD729A">
        <w:rPr>
          <w:rFonts w:asciiTheme="minorHAnsi" w:hAnsiTheme="minorHAnsi" w:cstheme="minorHAnsi"/>
          <w:b/>
          <w:sz w:val="22"/>
          <w:szCs w:val="22"/>
        </w:rPr>
        <w:t xml:space="preserve"> (UI)</w:t>
      </w:r>
      <w:r w:rsidR="00AB55AC">
        <w:rPr>
          <w:rFonts w:asciiTheme="minorHAnsi" w:hAnsiTheme="minorHAnsi" w:cstheme="minorHAnsi"/>
          <w:sz w:val="22"/>
          <w:szCs w:val="22"/>
        </w:rPr>
        <w:t xml:space="preserve">:  </w:t>
      </w:r>
      <w:r w:rsidR="00CD729A">
        <w:rPr>
          <w:rFonts w:asciiTheme="minorHAnsi" w:hAnsiTheme="minorHAnsi" w:cstheme="minorHAnsi"/>
          <w:sz w:val="22"/>
          <w:szCs w:val="22"/>
        </w:rPr>
        <w:t>D</w:t>
      </w:r>
      <w:r w:rsidR="00ED1D93" w:rsidRPr="00CD729A">
        <w:rPr>
          <w:rFonts w:asciiTheme="minorHAnsi" w:hAnsiTheme="minorHAnsi" w:cstheme="minorHAnsi"/>
          <w:sz w:val="22"/>
          <w:szCs w:val="22"/>
        </w:rPr>
        <w:t>etermination of the l</w:t>
      </w:r>
      <w:r w:rsidRPr="00CD729A">
        <w:rPr>
          <w:rFonts w:asciiTheme="minorHAnsi" w:hAnsiTheme="minorHAnsi" w:cstheme="minorHAnsi"/>
          <w:sz w:val="22"/>
          <w:szCs w:val="22"/>
        </w:rPr>
        <w:t>evel</w:t>
      </w:r>
      <w:r w:rsidR="00ED1D93" w:rsidRPr="00CD729A">
        <w:rPr>
          <w:rFonts w:asciiTheme="minorHAnsi" w:hAnsiTheme="minorHAnsi" w:cstheme="minorHAnsi"/>
          <w:sz w:val="22"/>
          <w:szCs w:val="22"/>
        </w:rPr>
        <w:t xml:space="preserve"> of risk</w:t>
      </w:r>
      <w:r w:rsidR="00EE3E29" w:rsidRPr="00CD729A">
        <w:rPr>
          <w:rFonts w:asciiTheme="minorHAnsi" w:hAnsiTheme="minorHAnsi" w:cstheme="minorHAnsi"/>
          <w:sz w:val="22"/>
          <w:szCs w:val="22"/>
        </w:rPr>
        <w:t xml:space="preserve"> </w:t>
      </w:r>
      <w:r w:rsidR="00892D26">
        <w:rPr>
          <w:rFonts w:asciiTheme="minorHAnsi" w:hAnsiTheme="minorHAnsi" w:cstheme="minorHAnsi"/>
          <w:sz w:val="22"/>
          <w:szCs w:val="22"/>
        </w:rPr>
        <w:t>when</w:t>
      </w:r>
      <w:r w:rsidRPr="00CD729A">
        <w:rPr>
          <w:rFonts w:asciiTheme="minorHAnsi" w:hAnsiTheme="minorHAnsi" w:cstheme="minorHAnsi"/>
          <w:sz w:val="22"/>
          <w:szCs w:val="22"/>
        </w:rPr>
        <w:t xml:space="preserve"> Saint Louis University</w:t>
      </w:r>
      <w:r w:rsidRPr="00CD729A">
        <w:rPr>
          <w:rFonts w:asciiTheme="minorHAnsi" w:hAnsiTheme="minorHAnsi" w:cstheme="minorHAnsi"/>
          <w:bCs/>
          <w:color w:val="000000"/>
          <w:sz w:val="22"/>
          <w:szCs w:val="22"/>
        </w:rPr>
        <w:t xml:space="preserve"> is responsible for liability coverage</w:t>
      </w:r>
      <w:r w:rsidR="00EE3E29" w:rsidRPr="00CD729A">
        <w:rPr>
          <w:rFonts w:asciiTheme="minorHAnsi" w:hAnsiTheme="minorHAnsi" w:cstheme="minorHAnsi"/>
          <w:bCs/>
          <w:color w:val="000000"/>
          <w:sz w:val="22"/>
          <w:szCs w:val="22"/>
        </w:rPr>
        <w:t xml:space="preserve">.  </w:t>
      </w:r>
      <w:r w:rsidR="00AB55AC">
        <w:rPr>
          <w:rFonts w:asciiTheme="minorHAnsi" w:hAnsiTheme="minorHAnsi" w:cstheme="minorHAnsi"/>
          <w:bCs/>
          <w:color w:val="000000"/>
          <w:sz w:val="22"/>
          <w:szCs w:val="22"/>
        </w:rPr>
        <w:t>If the research could</w:t>
      </w:r>
      <w:r w:rsidR="00AB55AC" w:rsidRPr="00CD729A">
        <w:rPr>
          <w:rFonts w:asciiTheme="minorHAnsi" w:hAnsiTheme="minorHAnsi" w:cstheme="minorHAnsi"/>
          <w:bCs/>
          <w:color w:val="000000"/>
          <w:sz w:val="22"/>
          <w:szCs w:val="22"/>
        </w:rPr>
        <w:t xml:space="preserve"> result i</w:t>
      </w:r>
      <w:r w:rsidR="00AB55AC">
        <w:rPr>
          <w:rFonts w:asciiTheme="minorHAnsi" w:hAnsiTheme="minorHAnsi" w:cstheme="minorHAnsi"/>
          <w:bCs/>
          <w:color w:val="000000"/>
          <w:sz w:val="22"/>
          <w:szCs w:val="22"/>
        </w:rPr>
        <w:t>n permanent disability or death, the protocol receives a “high” UI determination.</w:t>
      </w:r>
      <w:r w:rsidR="00EE3E29" w:rsidRPr="00CD729A">
        <w:rPr>
          <w:rFonts w:asciiTheme="minorHAnsi" w:hAnsiTheme="minorHAnsi" w:cstheme="minorHAnsi"/>
          <w:bCs/>
          <w:color w:val="000000"/>
          <w:sz w:val="22"/>
          <w:szCs w:val="22"/>
        </w:rPr>
        <w:t xml:space="preserve">  </w:t>
      </w:r>
      <w:r w:rsidR="00CD729A">
        <w:rPr>
          <w:rFonts w:asciiTheme="minorHAnsi" w:hAnsiTheme="minorHAnsi" w:cstheme="minorHAnsi"/>
          <w:bCs/>
          <w:color w:val="000000"/>
          <w:sz w:val="22"/>
          <w:szCs w:val="22"/>
        </w:rPr>
        <w:t>Protocols with a</w:t>
      </w:r>
      <w:r w:rsidR="00EE3E29" w:rsidRPr="00CD729A">
        <w:rPr>
          <w:rFonts w:asciiTheme="minorHAnsi" w:hAnsiTheme="minorHAnsi" w:cstheme="minorHAnsi"/>
          <w:bCs/>
          <w:color w:val="000000"/>
          <w:sz w:val="22"/>
          <w:szCs w:val="22"/>
        </w:rPr>
        <w:t>ll other levels of risk receive a “not high”</w:t>
      </w:r>
      <w:r w:rsidR="00AB55AC">
        <w:rPr>
          <w:rFonts w:asciiTheme="minorHAnsi" w:hAnsiTheme="minorHAnsi" w:cstheme="minorHAnsi"/>
          <w:bCs/>
          <w:color w:val="000000"/>
          <w:sz w:val="22"/>
          <w:szCs w:val="22"/>
        </w:rPr>
        <w:t xml:space="preserve"> UI</w:t>
      </w:r>
      <w:r w:rsidR="00EE3E29" w:rsidRPr="00CD729A">
        <w:rPr>
          <w:rFonts w:asciiTheme="minorHAnsi" w:hAnsiTheme="minorHAnsi" w:cstheme="minorHAnsi"/>
          <w:bCs/>
          <w:color w:val="000000"/>
          <w:sz w:val="22"/>
          <w:szCs w:val="22"/>
        </w:rPr>
        <w:t xml:space="preserve"> determination.      </w:t>
      </w:r>
    </w:p>
    <w:p w:rsidR="00AA7AC0" w:rsidRPr="00CD729A" w:rsidRDefault="00AA7AC0">
      <w:pPr>
        <w:rPr>
          <w:rFonts w:asciiTheme="minorHAnsi" w:hAnsiTheme="minorHAnsi" w:cstheme="minorHAnsi"/>
          <w:sz w:val="22"/>
          <w:szCs w:val="22"/>
        </w:rPr>
      </w:pPr>
    </w:p>
    <w:p w:rsidR="003D60BE" w:rsidRPr="00CD729A" w:rsidRDefault="003D60BE" w:rsidP="003D60BE">
      <w:pPr>
        <w:rPr>
          <w:rFonts w:asciiTheme="minorHAnsi" w:hAnsiTheme="minorHAnsi" w:cstheme="minorHAnsi"/>
          <w:b/>
          <w:sz w:val="22"/>
          <w:szCs w:val="22"/>
        </w:rPr>
      </w:pPr>
      <w:r w:rsidRPr="00CD729A">
        <w:rPr>
          <w:rFonts w:asciiTheme="minorHAnsi" w:hAnsiTheme="minorHAnsi" w:cstheme="minorHAnsi"/>
          <w:b/>
          <w:sz w:val="22"/>
          <w:szCs w:val="22"/>
        </w:rPr>
        <w:t>Noncompliance</w:t>
      </w:r>
    </w:p>
    <w:p w:rsidR="003D60BE" w:rsidRPr="00CD729A" w:rsidRDefault="003D60BE" w:rsidP="003D60BE">
      <w:pPr>
        <w:rPr>
          <w:rFonts w:asciiTheme="minorHAnsi" w:hAnsiTheme="minorHAnsi" w:cstheme="minorHAnsi"/>
          <w:b/>
          <w:sz w:val="22"/>
          <w:szCs w:val="22"/>
        </w:rPr>
      </w:pPr>
    </w:p>
    <w:p w:rsidR="003D60BE" w:rsidRPr="00CD729A" w:rsidRDefault="003D60BE" w:rsidP="003D60BE">
      <w:pPr>
        <w:pStyle w:val="ListParagraph"/>
        <w:numPr>
          <w:ilvl w:val="1"/>
          <w:numId w:val="1"/>
        </w:numPr>
        <w:rPr>
          <w:rFonts w:asciiTheme="minorHAnsi" w:hAnsiTheme="minorHAnsi" w:cstheme="minorHAnsi"/>
          <w:b/>
          <w:sz w:val="22"/>
          <w:szCs w:val="22"/>
        </w:rPr>
      </w:pPr>
      <w:r w:rsidRPr="00CD729A">
        <w:rPr>
          <w:rFonts w:asciiTheme="minorHAnsi" w:hAnsiTheme="minorHAnsi" w:cstheme="minorHAnsi"/>
          <w:i/>
          <w:iCs/>
          <w:sz w:val="22"/>
          <w:szCs w:val="22"/>
        </w:rPr>
        <w:t>Noncomplianc</w:t>
      </w:r>
      <w:r w:rsidRPr="00CD729A">
        <w:rPr>
          <w:rFonts w:asciiTheme="minorHAnsi" w:hAnsiTheme="minorHAnsi" w:cstheme="minorHAnsi"/>
          <w:sz w:val="22"/>
          <w:szCs w:val="22"/>
        </w:rPr>
        <w:t xml:space="preserve">e is defined as conducting research in a manner that disregards or violates federal regulations or institutional policies and procedures applicable to human </w:t>
      </w:r>
      <w:proofErr w:type="gramStart"/>
      <w:r w:rsidRPr="00CD729A">
        <w:rPr>
          <w:rFonts w:asciiTheme="minorHAnsi" w:hAnsiTheme="minorHAnsi" w:cstheme="minorHAnsi"/>
          <w:sz w:val="22"/>
          <w:szCs w:val="22"/>
        </w:rPr>
        <w:t>subjects</w:t>
      </w:r>
      <w:proofErr w:type="gramEnd"/>
      <w:r w:rsidRPr="00CD729A">
        <w:rPr>
          <w:rFonts w:asciiTheme="minorHAnsi" w:hAnsiTheme="minorHAnsi" w:cstheme="minorHAnsi"/>
          <w:sz w:val="22"/>
          <w:szCs w:val="22"/>
        </w:rPr>
        <w:t xml:space="preserve"> research. </w:t>
      </w:r>
      <w:r w:rsidR="00892D26">
        <w:rPr>
          <w:rFonts w:asciiTheme="minorHAnsi" w:hAnsiTheme="minorHAnsi" w:cstheme="minorHAnsi"/>
          <w:sz w:val="22"/>
          <w:szCs w:val="22"/>
        </w:rPr>
        <w:t xml:space="preserve"> Noncompliance </w:t>
      </w:r>
      <w:r w:rsidRPr="00CD729A">
        <w:rPr>
          <w:rFonts w:asciiTheme="minorHAnsi" w:hAnsiTheme="minorHAnsi" w:cstheme="minorHAnsi"/>
          <w:sz w:val="22"/>
          <w:szCs w:val="22"/>
        </w:rPr>
        <w:t>include</w:t>
      </w:r>
      <w:r w:rsidR="00892D26">
        <w:rPr>
          <w:rFonts w:asciiTheme="minorHAnsi" w:hAnsiTheme="minorHAnsi" w:cstheme="minorHAnsi"/>
          <w:sz w:val="22"/>
          <w:szCs w:val="22"/>
        </w:rPr>
        <w:t>s</w:t>
      </w:r>
      <w:r w:rsidRPr="00CD729A">
        <w:rPr>
          <w:rFonts w:asciiTheme="minorHAnsi" w:hAnsiTheme="minorHAnsi" w:cstheme="minorHAnsi"/>
          <w:sz w:val="22"/>
          <w:szCs w:val="22"/>
        </w:rPr>
        <w:t xml:space="preserve"> failure to adhere to the approved research protocol, except for minor or technical violations which result from inadvertent errors, inattention to detail, or failure to follow operational procedures which do not pose risk to subjects and/or violate subject’s rights and welfare. </w:t>
      </w:r>
    </w:p>
    <w:p w:rsidR="003D60BE" w:rsidRPr="00CD729A" w:rsidRDefault="003D60BE" w:rsidP="003D60BE">
      <w:pPr>
        <w:numPr>
          <w:ilvl w:val="1"/>
          <w:numId w:val="1"/>
        </w:numPr>
        <w:spacing w:before="100" w:beforeAutospacing="1" w:after="100" w:afterAutospacing="1"/>
        <w:rPr>
          <w:rFonts w:asciiTheme="minorHAnsi" w:hAnsiTheme="minorHAnsi" w:cstheme="minorHAnsi"/>
          <w:sz w:val="22"/>
          <w:szCs w:val="22"/>
        </w:rPr>
      </w:pPr>
      <w:r w:rsidRPr="00CD729A">
        <w:rPr>
          <w:rFonts w:asciiTheme="minorHAnsi" w:hAnsiTheme="minorHAnsi" w:cstheme="minorHAnsi"/>
          <w:i/>
          <w:iCs/>
          <w:sz w:val="22"/>
          <w:szCs w:val="22"/>
        </w:rPr>
        <w:t>Continuing noncompliance</w:t>
      </w:r>
      <w:r w:rsidRPr="00CD729A">
        <w:rPr>
          <w:rFonts w:asciiTheme="minorHAnsi" w:hAnsiTheme="minorHAnsi" w:cstheme="minorHAnsi"/>
          <w:sz w:val="22"/>
          <w:szCs w:val="22"/>
        </w:rPr>
        <w:t xml:space="preserve"> is a persistent failure to adhere to the laws, regulations, or policies governing </w:t>
      </w:r>
      <w:r w:rsidRPr="00892D26">
        <w:rPr>
          <w:rFonts w:asciiTheme="minorHAnsi" w:hAnsiTheme="minorHAnsi" w:cstheme="minorHAnsi"/>
          <w:sz w:val="22"/>
          <w:szCs w:val="22"/>
        </w:rPr>
        <w:t xml:space="preserve">human </w:t>
      </w:r>
      <w:r w:rsidRPr="00CD729A">
        <w:rPr>
          <w:rFonts w:asciiTheme="minorHAnsi" w:hAnsiTheme="minorHAnsi" w:cstheme="minorHAnsi"/>
          <w:sz w:val="22"/>
          <w:szCs w:val="22"/>
        </w:rPr>
        <w:t>research including persistent failure to adhere to an approved research protocol.</w:t>
      </w:r>
    </w:p>
    <w:p w:rsidR="003D60BE" w:rsidRPr="00CD729A" w:rsidRDefault="003D60BE" w:rsidP="003D60BE">
      <w:pPr>
        <w:numPr>
          <w:ilvl w:val="1"/>
          <w:numId w:val="1"/>
        </w:numPr>
        <w:spacing w:before="100" w:beforeAutospacing="1" w:after="100" w:afterAutospacing="1"/>
        <w:rPr>
          <w:rFonts w:asciiTheme="minorHAnsi" w:hAnsiTheme="minorHAnsi" w:cstheme="minorHAnsi"/>
          <w:sz w:val="22"/>
          <w:szCs w:val="22"/>
        </w:rPr>
      </w:pPr>
      <w:r w:rsidRPr="00CD729A">
        <w:rPr>
          <w:rFonts w:asciiTheme="minorHAnsi" w:hAnsiTheme="minorHAnsi" w:cstheme="minorHAnsi"/>
          <w:i/>
          <w:iCs/>
          <w:sz w:val="22"/>
          <w:szCs w:val="22"/>
        </w:rPr>
        <w:t>Serious noncompliance</w:t>
      </w:r>
      <w:r w:rsidRPr="00CD729A">
        <w:rPr>
          <w:rFonts w:asciiTheme="minorHAnsi" w:hAnsiTheme="minorHAnsi" w:cstheme="minorHAnsi"/>
          <w:sz w:val="22"/>
          <w:szCs w:val="22"/>
        </w:rPr>
        <w:t xml:space="preserve"> is a failure to adhere to the laws, regulations, or policies governing </w:t>
      </w:r>
      <w:r w:rsidRPr="00892D26">
        <w:rPr>
          <w:rFonts w:asciiTheme="minorHAnsi" w:hAnsiTheme="minorHAnsi" w:cstheme="minorHAnsi"/>
          <w:sz w:val="22"/>
          <w:szCs w:val="22"/>
        </w:rPr>
        <w:t xml:space="preserve">human </w:t>
      </w:r>
      <w:r w:rsidRPr="00CD729A">
        <w:rPr>
          <w:rFonts w:asciiTheme="minorHAnsi" w:hAnsiTheme="minorHAnsi" w:cstheme="minorHAnsi"/>
          <w:sz w:val="22"/>
          <w:szCs w:val="22"/>
        </w:rPr>
        <w:t xml:space="preserve">research that may reasonably be regarded as: </w:t>
      </w:r>
    </w:p>
    <w:p w:rsidR="003D60BE" w:rsidRPr="00CD729A" w:rsidRDefault="003D60BE" w:rsidP="003D60BE">
      <w:pPr>
        <w:numPr>
          <w:ilvl w:val="2"/>
          <w:numId w:val="1"/>
        </w:numPr>
        <w:spacing w:before="100" w:beforeAutospacing="1" w:after="100" w:afterAutospacing="1"/>
        <w:rPr>
          <w:rFonts w:asciiTheme="minorHAnsi" w:hAnsiTheme="minorHAnsi" w:cstheme="minorHAnsi"/>
          <w:sz w:val="22"/>
          <w:szCs w:val="22"/>
        </w:rPr>
      </w:pPr>
      <w:r w:rsidRPr="00CD729A">
        <w:rPr>
          <w:rFonts w:asciiTheme="minorHAnsi" w:hAnsiTheme="minorHAnsi" w:cstheme="minorHAnsi"/>
          <w:sz w:val="22"/>
          <w:szCs w:val="22"/>
        </w:rPr>
        <w:t xml:space="preserve">Involving substantive harm, or a genuine risk of substantive harm, to the safety, rights, or welfare of human research subjects, research staff, or others; or </w:t>
      </w:r>
    </w:p>
    <w:p w:rsidR="003D60BE" w:rsidRPr="00CD729A" w:rsidRDefault="003D60BE" w:rsidP="003D60BE">
      <w:pPr>
        <w:numPr>
          <w:ilvl w:val="2"/>
          <w:numId w:val="1"/>
        </w:numPr>
        <w:spacing w:before="100" w:beforeAutospacing="1" w:after="100" w:afterAutospacing="1"/>
        <w:rPr>
          <w:rFonts w:asciiTheme="minorHAnsi" w:hAnsiTheme="minorHAnsi" w:cstheme="minorHAnsi"/>
          <w:sz w:val="22"/>
          <w:szCs w:val="22"/>
        </w:rPr>
      </w:pPr>
      <w:r w:rsidRPr="00CD729A">
        <w:rPr>
          <w:rFonts w:asciiTheme="minorHAnsi" w:hAnsiTheme="minorHAnsi" w:cstheme="minorHAnsi"/>
          <w:sz w:val="22"/>
          <w:szCs w:val="22"/>
        </w:rPr>
        <w:t>Substantively compromising the effectiveness of a facility’s human research protection or human research oversight programs.</w:t>
      </w:r>
    </w:p>
    <w:p w:rsidR="003D60BE" w:rsidRPr="00CD729A" w:rsidRDefault="003D60BE">
      <w:pPr>
        <w:rPr>
          <w:rFonts w:asciiTheme="minorHAnsi" w:hAnsiTheme="minorHAnsi" w:cstheme="minorHAnsi"/>
          <w:b/>
          <w:sz w:val="22"/>
          <w:szCs w:val="22"/>
        </w:rPr>
      </w:pPr>
      <w:r w:rsidRPr="00CD729A">
        <w:rPr>
          <w:rFonts w:asciiTheme="minorHAnsi" w:hAnsiTheme="minorHAnsi" w:cstheme="minorHAnsi"/>
          <w:b/>
          <w:sz w:val="22"/>
          <w:szCs w:val="22"/>
        </w:rPr>
        <w:t>Significant Risk (SR)</w:t>
      </w:r>
      <w:r w:rsidR="00D75413" w:rsidRPr="00CD729A">
        <w:rPr>
          <w:rFonts w:asciiTheme="minorHAnsi" w:hAnsiTheme="minorHAnsi" w:cstheme="minorHAnsi"/>
          <w:b/>
          <w:sz w:val="22"/>
          <w:szCs w:val="22"/>
        </w:rPr>
        <w:t xml:space="preserve"> and </w:t>
      </w:r>
      <w:r w:rsidRPr="00CD729A">
        <w:rPr>
          <w:rFonts w:asciiTheme="minorHAnsi" w:hAnsiTheme="minorHAnsi" w:cstheme="minorHAnsi"/>
          <w:b/>
          <w:sz w:val="22"/>
          <w:szCs w:val="22"/>
        </w:rPr>
        <w:t>Non-Significant Risk</w:t>
      </w:r>
      <w:r w:rsidR="00CD729A">
        <w:rPr>
          <w:rFonts w:asciiTheme="minorHAnsi" w:hAnsiTheme="minorHAnsi" w:cstheme="minorHAnsi"/>
          <w:b/>
          <w:sz w:val="22"/>
          <w:szCs w:val="22"/>
        </w:rPr>
        <w:t xml:space="preserve"> (NSR)</w:t>
      </w:r>
      <w:r w:rsidRPr="00CD729A">
        <w:rPr>
          <w:rFonts w:asciiTheme="minorHAnsi" w:hAnsiTheme="minorHAnsi" w:cstheme="minorHAnsi"/>
          <w:b/>
          <w:sz w:val="22"/>
          <w:szCs w:val="22"/>
        </w:rPr>
        <w:t xml:space="preserve"> Device</w:t>
      </w:r>
      <w:bookmarkStart w:id="0" w:name="_GoBack"/>
      <w:bookmarkEnd w:id="0"/>
    </w:p>
    <w:p w:rsidR="001224E7" w:rsidRPr="00CD729A" w:rsidRDefault="001224E7">
      <w:pPr>
        <w:rPr>
          <w:rFonts w:asciiTheme="minorHAnsi" w:hAnsiTheme="minorHAnsi" w:cstheme="minorHAnsi"/>
          <w:b/>
          <w:sz w:val="22"/>
          <w:szCs w:val="22"/>
        </w:rPr>
      </w:pPr>
    </w:p>
    <w:p w:rsidR="001224E7" w:rsidRPr="00CD729A" w:rsidRDefault="001224E7" w:rsidP="00505376">
      <w:pPr>
        <w:ind w:left="1080"/>
        <w:rPr>
          <w:rFonts w:asciiTheme="minorHAnsi" w:hAnsiTheme="minorHAnsi" w:cstheme="minorHAnsi"/>
          <w:sz w:val="22"/>
          <w:szCs w:val="22"/>
        </w:rPr>
      </w:pPr>
      <w:r w:rsidRPr="00CD729A">
        <w:rPr>
          <w:rFonts w:asciiTheme="minorHAnsi" w:hAnsiTheme="minorHAnsi" w:cstheme="minorHAnsi"/>
          <w:sz w:val="22"/>
          <w:szCs w:val="22"/>
        </w:rPr>
        <w:t xml:space="preserve">Under 21 CFR 812.3(m), an SR device means an investigational device that: </w:t>
      </w:r>
    </w:p>
    <w:p w:rsidR="001224E7" w:rsidRPr="00CD729A" w:rsidRDefault="001224E7" w:rsidP="00505376">
      <w:pPr>
        <w:ind w:left="1080"/>
        <w:rPr>
          <w:rFonts w:asciiTheme="minorHAnsi" w:hAnsiTheme="minorHAnsi" w:cstheme="minorHAnsi"/>
          <w:sz w:val="22"/>
          <w:szCs w:val="22"/>
        </w:rPr>
      </w:pPr>
    </w:p>
    <w:p w:rsidR="001224E7" w:rsidRPr="00CD729A" w:rsidRDefault="001224E7" w:rsidP="00505376">
      <w:pPr>
        <w:pStyle w:val="ListParagraph"/>
        <w:numPr>
          <w:ilvl w:val="0"/>
          <w:numId w:val="2"/>
        </w:numPr>
        <w:ind w:left="1800"/>
        <w:rPr>
          <w:rFonts w:asciiTheme="minorHAnsi" w:hAnsiTheme="minorHAnsi" w:cstheme="minorHAnsi"/>
          <w:sz w:val="22"/>
          <w:szCs w:val="22"/>
        </w:rPr>
      </w:pPr>
      <w:r w:rsidRPr="00CD729A">
        <w:rPr>
          <w:rFonts w:asciiTheme="minorHAnsi" w:hAnsiTheme="minorHAnsi" w:cstheme="minorHAnsi"/>
          <w:sz w:val="22"/>
          <w:szCs w:val="22"/>
        </w:rPr>
        <w:t xml:space="preserve">Is intended as an implant and presents a potential for serious risk to the health, safety, or welfare of a subject; </w:t>
      </w:r>
    </w:p>
    <w:p w:rsidR="001224E7" w:rsidRPr="00CD729A" w:rsidRDefault="001224E7" w:rsidP="00505376">
      <w:pPr>
        <w:pStyle w:val="ListParagraph"/>
        <w:numPr>
          <w:ilvl w:val="0"/>
          <w:numId w:val="2"/>
        </w:numPr>
        <w:ind w:left="1800"/>
        <w:rPr>
          <w:rFonts w:asciiTheme="minorHAnsi" w:hAnsiTheme="minorHAnsi" w:cstheme="minorHAnsi"/>
          <w:sz w:val="22"/>
          <w:szCs w:val="22"/>
        </w:rPr>
      </w:pPr>
      <w:r w:rsidRPr="00CD729A">
        <w:rPr>
          <w:rFonts w:asciiTheme="minorHAnsi" w:hAnsiTheme="minorHAnsi" w:cstheme="minorHAnsi"/>
          <w:sz w:val="22"/>
          <w:szCs w:val="22"/>
        </w:rPr>
        <w:t xml:space="preserve">Is purported or represented to be for use supporting or sustaining human life and presents a potential for serious risk to the health, safety, or welfare of a subject; </w:t>
      </w:r>
    </w:p>
    <w:p w:rsidR="001224E7" w:rsidRPr="00CD729A" w:rsidRDefault="001224E7" w:rsidP="00505376">
      <w:pPr>
        <w:pStyle w:val="ListParagraph"/>
        <w:numPr>
          <w:ilvl w:val="0"/>
          <w:numId w:val="2"/>
        </w:numPr>
        <w:ind w:left="1800"/>
        <w:rPr>
          <w:rFonts w:asciiTheme="minorHAnsi" w:hAnsiTheme="minorHAnsi" w:cstheme="minorHAnsi"/>
          <w:sz w:val="22"/>
          <w:szCs w:val="22"/>
        </w:rPr>
      </w:pPr>
      <w:r w:rsidRPr="00CD729A">
        <w:rPr>
          <w:rFonts w:asciiTheme="minorHAnsi" w:hAnsiTheme="minorHAnsi" w:cstheme="minorHAnsi"/>
          <w:sz w:val="22"/>
          <w:szCs w:val="22"/>
        </w:rPr>
        <w:t>Is for a use of substantial importance in diagnosing, curing, mitigating, or treating disease, or otherwise preventing impairment of human health and presents a potential for serious risk to the health, safety, or welfare of a subject; or</w:t>
      </w:r>
    </w:p>
    <w:p w:rsidR="001224E7" w:rsidRPr="00CD729A" w:rsidRDefault="001224E7" w:rsidP="00505376">
      <w:pPr>
        <w:pStyle w:val="ListParagraph"/>
        <w:numPr>
          <w:ilvl w:val="0"/>
          <w:numId w:val="2"/>
        </w:numPr>
        <w:ind w:left="1800"/>
        <w:rPr>
          <w:rFonts w:asciiTheme="minorHAnsi" w:hAnsiTheme="minorHAnsi" w:cstheme="minorHAnsi"/>
          <w:sz w:val="22"/>
          <w:szCs w:val="22"/>
        </w:rPr>
      </w:pPr>
      <w:r w:rsidRPr="00CD729A">
        <w:rPr>
          <w:rFonts w:asciiTheme="minorHAnsi" w:hAnsiTheme="minorHAnsi" w:cstheme="minorHAnsi"/>
          <w:sz w:val="22"/>
          <w:szCs w:val="22"/>
        </w:rPr>
        <w:t xml:space="preserve">Otherwise presents a potential for serious risk to the health, safety, or welfare of a subject. </w:t>
      </w:r>
    </w:p>
    <w:p w:rsidR="001224E7" w:rsidRPr="00CD729A" w:rsidRDefault="001224E7" w:rsidP="00505376">
      <w:pPr>
        <w:ind w:left="1080"/>
        <w:rPr>
          <w:rFonts w:asciiTheme="minorHAnsi" w:hAnsiTheme="minorHAnsi" w:cstheme="minorHAnsi"/>
          <w:sz w:val="22"/>
          <w:szCs w:val="22"/>
        </w:rPr>
      </w:pPr>
    </w:p>
    <w:p w:rsidR="001224E7" w:rsidRPr="00CD729A" w:rsidRDefault="001224E7" w:rsidP="00505376">
      <w:pPr>
        <w:ind w:left="1080"/>
        <w:rPr>
          <w:rFonts w:asciiTheme="minorHAnsi" w:hAnsiTheme="minorHAnsi" w:cstheme="minorHAnsi"/>
          <w:sz w:val="22"/>
          <w:szCs w:val="22"/>
        </w:rPr>
      </w:pPr>
      <w:r w:rsidRPr="00CD729A">
        <w:rPr>
          <w:rFonts w:asciiTheme="minorHAnsi" w:hAnsiTheme="minorHAnsi" w:cstheme="minorHAnsi"/>
          <w:sz w:val="22"/>
          <w:szCs w:val="22"/>
        </w:rPr>
        <w:t xml:space="preserve">An NSR device study is one that does not meet the definition for an SR device study.  </w:t>
      </w:r>
    </w:p>
    <w:p w:rsidR="00D75413" w:rsidRDefault="00D75413">
      <w:pPr>
        <w:rPr>
          <w:rFonts w:asciiTheme="minorHAnsi" w:hAnsiTheme="minorHAnsi" w:cstheme="minorHAnsi"/>
          <w:b/>
          <w:sz w:val="22"/>
          <w:szCs w:val="22"/>
        </w:rPr>
      </w:pPr>
    </w:p>
    <w:p w:rsidR="003D60BE" w:rsidRDefault="003D60BE">
      <w:pPr>
        <w:rPr>
          <w:rFonts w:asciiTheme="minorHAnsi" w:hAnsiTheme="minorHAnsi" w:cstheme="minorHAnsi"/>
          <w:b/>
          <w:sz w:val="22"/>
          <w:szCs w:val="22"/>
        </w:rPr>
      </w:pPr>
    </w:p>
    <w:p w:rsidR="003D60BE" w:rsidRDefault="003D60BE">
      <w:pPr>
        <w:rPr>
          <w:rFonts w:asciiTheme="minorHAnsi" w:hAnsiTheme="minorHAnsi" w:cstheme="minorHAnsi"/>
          <w:b/>
          <w:sz w:val="22"/>
          <w:szCs w:val="22"/>
        </w:rPr>
      </w:pPr>
    </w:p>
    <w:p w:rsidR="003D60BE" w:rsidRPr="003D60BE" w:rsidRDefault="003D60BE">
      <w:pPr>
        <w:rPr>
          <w:rFonts w:asciiTheme="minorHAnsi" w:hAnsiTheme="minorHAnsi" w:cstheme="minorHAnsi"/>
          <w:b/>
          <w:sz w:val="22"/>
          <w:szCs w:val="22"/>
        </w:rPr>
      </w:pPr>
    </w:p>
    <w:sectPr w:rsidR="003D60BE" w:rsidRPr="003D6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0D23"/>
    <w:multiLevelType w:val="hybridMultilevel"/>
    <w:tmpl w:val="9DC8857E"/>
    <w:lvl w:ilvl="0" w:tplc="4244B66A">
      <w:start w:val="1"/>
      <w:numFmt w:val="upperLetter"/>
      <w:lvlText w:val="%1."/>
      <w:lvlJc w:val="left"/>
      <w:pPr>
        <w:tabs>
          <w:tab w:val="num" w:pos="720"/>
        </w:tabs>
        <w:ind w:left="720" w:hanging="360"/>
      </w:pPr>
      <w:rPr>
        <w:rFonts w:hint="default"/>
        <w:b/>
      </w:rPr>
    </w:lvl>
    <w:lvl w:ilvl="1" w:tplc="AB30D0C6">
      <w:start w:val="1"/>
      <w:numFmt w:val="decimal"/>
      <w:lvlText w:val="%2."/>
      <w:lvlJc w:val="left"/>
      <w:pPr>
        <w:tabs>
          <w:tab w:val="num" w:pos="1440"/>
        </w:tabs>
        <w:ind w:left="1440" w:hanging="360"/>
      </w:pPr>
      <w:rPr>
        <w:rFonts w:asciiTheme="minorHAnsi" w:eastAsia="Times New Roman" w:hAnsiTheme="minorHAnsi" w:cstheme="minorHAnsi"/>
        <w:b w:val="0"/>
      </w:rPr>
    </w:lvl>
    <w:lvl w:ilvl="2" w:tplc="A7AC222E">
      <w:start w:val="1"/>
      <w:numFmt w:val="lowerLetter"/>
      <w:lvlText w:val="%3."/>
      <w:lvlJc w:val="left"/>
      <w:pPr>
        <w:tabs>
          <w:tab w:val="num" w:pos="2340"/>
        </w:tabs>
        <w:ind w:left="2340" w:hanging="360"/>
      </w:pPr>
      <w:rPr>
        <w:rFonts w:hint="default"/>
        <w:b w:val="0"/>
        <w:i w:val="0"/>
      </w:rPr>
    </w:lvl>
    <w:lvl w:ilvl="3" w:tplc="E1FAD47E">
      <w:start w:val="1"/>
      <w:numFmt w:val="decimal"/>
      <w:lvlText w:val="%4."/>
      <w:lvlJc w:val="left"/>
      <w:pPr>
        <w:tabs>
          <w:tab w:val="num" w:pos="2880"/>
        </w:tabs>
        <w:ind w:left="2880" w:hanging="360"/>
      </w:pPr>
      <w:rPr>
        <w:b w:val="0"/>
        <w:i w:val="0"/>
      </w:rPr>
    </w:lvl>
    <w:lvl w:ilvl="4" w:tplc="837A6EBC">
      <w:start w:val="1"/>
      <w:numFmt w:val="lowerLetter"/>
      <w:lvlText w:val="%5."/>
      <w:lvlJc w:val="left"/>
      <w:pPr>
        <w:tabs>
          <w:tab w:val="num" w:pos="3600"/>
        </w:tabs>
        <w:ind w:left="3600" w:hanging="360"/>
      </w:pPr>
      <w:rPr>
        <w:b w:val="0"/>
      </w:rPr>
    </w:lvl>
    <w:lvl w:ilvl="5" w:tplc="0409001B">
      <w:start w:val="1"/>
      <w:numFmt w:val="lowerRoman"/>
      <w:lvlText w:val="%6."/>
      <w:lvlJc w:val="right"/>
      <w:pPr>
        <w:tabs>
          <w:tab w:val="num" w:pos="4320"/>
        </w:tabs>
        <w:ind w:left="4320" w:hanging="180"/>
      </w:pPr>
    </w:lvl>
    <w:lvl w:ilvl="6" w:tplc="E966862A">
      <w:start w:val="1"/>
      <w:numFmt w:val="decimal"/>
      <w:lvlText w:val="%7"/>
      <w:lvlJc w:val="left"/>
      <w:pPr>
        <w:ind w:left="5040" w:hanging="360"/>
      </w:pPr>
      <w:rPr>
        <w:rFonts w:hint="default"/>
      </w:rPr>
    </w:lvl>
    <w:lvl w:ilvl="7" w:tplc="1EA4E04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1">
    <w:nsid w:val="1C8F491A"/>
    <w:multiLevelType w:val="hybridMultilevel"/>
    <w:tmpl w:val="6CC0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045"/>
    <w:rsid w:val="001224E7"/>
    <w:rsid w:val="003D60BE"/>
    <w:rsid w:val="00505376"/>
    <w:rsid w:val="00540A2B"/>
    <w:rsid w:val="00892D26"/>
    <w:rsid w:val="008F69EC"/>
    <w:rsid w:val="00AA7AC0"/>
    <w:rsid w:val="00AB55AC"/>
    <w:rsid w:val="00CD729A"/>
    <w:rsid w:val="00D02045"/>
    <w:rsid w:val="00D75413"/>
    <w:rsid w:val="00ED1D93"/>
    <w:rsid w:val="00EE3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0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0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0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 Fitzgerald</dc:creator>
  <cp:lastModifiedBy>Melissa A. Fitzgerald</cp:lastModifiedBy>
  <cp:revision>6</cp:revision>
  <dcterms:created xsi:type="dcterms:W3CDTF">2014-06-13T20:00:00Z</dcterms:created>
  <dcterms:modified xsi:type="dcterms:W3CDTF">2014-06-16T13:41:00Z</dcterms:modified>
</cp:coreProperties>
</file>