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52" w:rsidRDefault="004A348C">
      <w:pPr>
        <w:pStyle w:val="Heading1"/>
        <w:jc w:val="both"/>
      </w:pPr>
      <w:bookmarkStart w:id="0" w:name="_GoBack"/>
      <w:bookmarkEnd w:id="0"/>
      <w:r>
        <w:t>Policy for</w:t>
      </w:r>
      <w:r w:rsidR="00BC0C38">
        <w:t xml:space="preserve"> reviewing applications for CNR</w:t>
      </w:r>
      <w:r>
        <w:t xml:space="preserve"> seed grants</w:t>
      </w:r>
    </w:p>
    <w:p w:rsidR="00522F52" w:rsidRDefault="00522F52">
      <w:pPr>
        <w:pStyle w:val="BodyText"/>
        <w:spacing w:before="5"/>
        <w:rPr>
          <w:b/>
          <w:sz w:val="25"/>
        </w:rPr>
      </w:pPr>
    </w:p>
    <w:p w:rsidR="00522F52" w:rsidRDefault="004A348C">
      <w:pPr>
        <w:pStyle w:val="BodyText"/>
        <w:spacing w:line="261" w:lineRule="auto"/>
        <w:ind w:left="100" w:right="116"/>
        <w:jc w:val="both"/>
      </w:pPr>
      <w:r>
        <w:rPr>
          <w:b/>
        </w:rPr>
        <w:t xml:space="preserve">Goal: </w:t>
      </w:r>
      <w:r>
        <w:t>Ensur</w:t>
      </w:r>
      <w:r w:rsidR="00BC0C38">
        <w:t>e unbiased selection of the CNR</w:t>
      </w:r>
      <w:r>
        <w:t xml:space="preserve"> seed grant applications most likel</w:t>
      </w:r>
      <w:r w:rsidR="00BC0C38">
        <w:t>y to result in expansion of CNR</w:t>
      </w:r>
      <w:r>
        <w:t xml:space="preserve"> collaborations and acquisition of external funding.</w:t>
      </w:r>
      <w:r w:rsidR="005030CE">
        <w:t xml:space="preserve"> Applications with two or more collaborators will be considered</w:t>
      </w:r>
      <w:r w:rsidR="00157365">
        <w:t xml:space="preserve"> as long as </w:t>
      </w:r>
      <w:r w:rsidR="00900886">
        <w:t>all</w:t>
      </w:r>
      <w:r w:rsidR="00157365">
        <w:t xml:space="preserve"> applicants </w:t>
      </w:r>
      <w:r w:rsidR="000702E1">
        <w:t xml:space="preserve">are </w:t>
      </w:r>
      <w:r w:rsidR="0064113B">
        <w:t xml:space="preserve">members </w:t>
      </w:r>
      <w:r w:rsidR="00157365">
        <w:t>of the Center for Neuroscience</w:t>
      </w:r>
      <w:r w:rsidR="005030CE">
        <w:t>.</w:t>
      </w:r>
    </w:p>
    <w:p w:rsidR="00522F52" w:rsidRDefault="004A348C">
      <w:pPr>
        <w:pStyle w:val="BodyText"/>
        <w:spacing w:before="116" w:line="259" w:lineRule="auto"/>
        <w:ind w:left="100" w:right="116"/>
        <w:jc w:val="both"/>
      </w:pPr>
      <w:r>
        <w:rPr>
          <w:b/>
        </w:rPr>
        <w:t xml:space="preserve">Review committee: </w:t>
      </w:r>
      <w:r>
        <w:t xml:space="preserve">The review committee will be comprised of </w:t>
      </w:r>
      <w:r w:rsidR="00BC0C38">
        <w:t>five members drawn from the CNR leadership team, the CNR</w:t>
      </w:r>
      <w:r>
        <w:t xml:space="preserve"> internal advisors, and other qualified SLU personnel as deemed appropriate by the leadership team. The committee will select a Chair from its membership. Membership will rotate on a regular basis.</w:t>
      </w:r>
    </w:p>
    <w:p w:rsidR="00522F52" w:rsidRDefault="004A348C">
      <w:pPr>
        <w:pStyle w:val="BodyText"/>
        <w:spacing w:before="119"/>
        <w:ind w:left="100"/>
        <w:jc w:val="both"/>
      </w:pPr>
      <w:r>
        <w:rPr>
          <w:b/>
        </w:rPr>
        <w:t xml:space="preserve">Conflicts: </w:t>
      </w:r>
      <w:r>
        <w:t>Review committee members will be in conflict with an application if: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t>They are a PI or co-investigator on the</w:t>
      </w:r>
      <w:r>
        <w:rPr>
          <w:spacing w:val="-6"/>
        </w:rPr>
        <w:t xml:space="preserve"> </w:t>
      </w:r>
      <w:r>
        <w:t>application.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left="820"/>
      </w:pPr>
      <w:r>
        <w:t>They have an active grant or a grant application under review with the seed grant</w:t>
      </w:r>
      <w:r>
        <w:rPr>
          <w:spacing w:val="-8"/>
        </w:rPr>
        <w:t xml:space="preserve"> </w:t>
      </w:r>
      <w:r>
        <w:t>PI.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left="820"/>
      </w:pPr>
      <w:r>
        <w:t>They have been co-authors on a paper with the PI published in the last 18</w:t>
      </w:r>
      <w:r>
        <w:rPr>
          <w:spacing w:val="-8"/>
        </w:rPr>
        <w:t xml:space="preserve"> </w:t>
      </w:r>
      <w:r>
        <w:t>months.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left="820"/>
      </w:pPr>
      <w:r>
        <w:t>They have a personal association with the PI that may cause an appearance of</w:t>
      </w:r>
      <w:r>
        <w:rPr>
          <w:spacing w:val="-10"/>
        </w:rPr>
        <w:t xml:space="preserve"> </w:t>
      </w:r>
      <w:r>
        <w:t>conflict.</w:t>
      </w:r>
    </w:p>
    <w:p w:rsidR="00522F52" w:rsidRDefault="004A348C" w:rsidP="00B41BF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left="820"/>
      </w:pPr>
      <w:r>
        <w:t xml:space="preserve">They would receive funding through the grant </w:t>
      </w:r>
      <w:r w:rsidR="003C5353">
        <w:t>or t</w:t>
      </w:r>
      <w:r>
        <w:t>hey consulted with the applicant beyond answering programmatic or budget</w:t>
      </w:r>
      <w:r w:rsidRPr="00B41BFE">
        <w:rPr>
          <w:spacing w:val="-11"/>
        </w:rPr>
        <w:t xml:space="preserve"> </w:t>
      </w:r>
      <w:r>
        <w:t>questions.</w:t>
      </w:r>
    </w:p>
    <w:p w:rsidR="00522F52" w:rsidRDefault="004A348C">
      <w:pPr>
        <w:pStyle w:val="BodyText"/>
        <w:spacing w:before="139" w:line="259" w:lineRule="auto"/>
        <w:ind w:left="100" w:right="117"/>
        <w:jc w:val="both"/>
      </w:pPr>
      <w:r>
        <w:t>Potential confli</w:t>
      </w:r>
      <w:r w:rsidR="00BC0C38">
        <w:t>cts will be declared to the CNR</w:t>
      </w:r>
      <w:r>
        <w:t xml:space="preserve"> leadership team, which will determine if a conflict exists. Reviewers can be in conflict with no more than 1 application per review cycle. Conflicted reviewers must </w:t>
      </w:r>
      <w:proofErr w:type="gramStart"/>
      <w:r>
        <w:t>not  be</w:t>
      </w:r>
      <w:proofErr w:type="gramEnd"/>
      <w:r>
        <w:t xml:space="preserve"> involved review the application with which they are conflicted but will participate in review of the remaining applications.</w:t>
      </w:r>
    </w:p>
    <w:p w:rsidR="00522F52" w:rsidRDefault="004A348C">
      <w:pPr>
        <w:pStyle w:val="BodyText"/>
        <w:spacing w:before="116"/>
        <w:ind w:left="100"/>
        <w:jc w:val="both"/>
      </w:pPr>
      <w:r>
        <w:rPr>
          <w:b/>
        </w:rPr>
        <w:t xml:space="preserve">Review criteria: </w:t>
      </w:r>
      <w:r>
        <w:t>Review criteria largely mimic those of an NIH grant application. They are: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79"/>
        </w:tabs>
        <w:spacing w:before="23" w:line="256" w:lineRule="auto"/>
        <w:ind w:right="111"/>
        <w:jc w:val="both"/>
      </w:pPr>
      <w:r>
        <w:rPr>
          <w:u w:val="single"/>
        </w:rPr>
        <w:t>Significance</w:t>
      </w:r>
      <w:r>
        <w:t xml:space="preserve">: Is the work </w:t>
      </w:r>
      <w:r w:rsidR="005030CE">
        <w:t>addressing significant neuro-related issues and advancing knowledge in the field of neuroscience</w:t>
      </w:r>
      <w:r w:rsidR="000702E1">
        <w:t xml:space="preserve"> that will significantly impact basic and clinical research, education, outreach and treatment</w:t>
      </w:r>
      <w:r>
        <w:t>?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auto"/>
        <w:ind w:left="880" w:right="115"/>
        <w:jc w:val="both"/>
      </w:pPr>
      <w:r>
        <w:rPr>
          <w:u w:val="single"/>
        </w:rPr>
        <w:t>Investigator</w:t>
      </w:r>
      <w:r>
        <w:t xml:space="preserve">: Is the investigator(s) qualified to do the work and/or has s/he identified a collaborator or vendor with the appropriate expertise? Does the investigative team represent a new collaboration involving SLU faculty? 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auto"/>
        <w:ind w:left="880" w:right="121"/>
        <w:jc w:val="both"/>
      </w:pPr>
      <w:r>
        <w:rPr>
          <w:u w:val="single"/>
        </w:rPr>
        <w:t>Innovation</w:t>
      </w:r>
      <w:r>
        <w:t>: Does the proposed work significantly advance the investigator’s project beyond its current state?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auto"/>
        <w:ind w:left="880" w:right="116"/>
        <w:jc w:val="both"/>
      </w:pPr>
      <w:r>
        <w:rPr>
          <w:u w:val="single"/>
        </w:rPr>
        <w:t>Approach</w:t>
      </w:r>
      <w:r>
        <w:t xml:space="preserve">: Is the project scientifically robust and rigorous? Is it feasible within the approved </w:t>
      </w:r>
      <w:proofErr w:type="gramStart"/>
      <w:r>
        <w:t>budget  and</w:t>
      </w:r>
      <w:proofErr w:type="gramEnd"/>
      <w:r>
        <w:rPr>
          <w:spacing w:val="-1"/>
        </w:rPr>
        <w:t xml:space="preserve"> </w:t>
      </w:r>
      <w:r>
        <w:t>timeline?</w:t>
      </w:r>
    </w:p>
    <w:p w:rsidR="00522F52" w:rsidRDefault="004A348C">
      <w:pPr>
        <w:pStyle w:val="ListParagraph"/>
        <w:numPr>
          <w:ilvl w:val="0"/>
          <w:numId w:val="1"/>
        </w:numPr>
        <w:tabs>
          <w:tab w:val="left" w:pos="879"/>
        </w:tabs>
        <w:spacing w:before="0" w:line="256" w:lineRule="auto"/>
        <w:ind w:right="120"/>
        <w:jc w:val="both"/>
      </w:pPr>
      <w:r>
        <w:rPr>
          <w:u w:val="single"/>
        </w:rPr>
        <w:t>Funding potential</w:t>
      </w:r>
      <w:r>
        <w:t>. Would successful completion of the seed grant project significantly increase chances of the investigator acquiring external</w:t>
      </w:r>
      <w:r>
        <w:rPr>
          <w:spacing w:val="-3"/>
        </w:rPr>
        <w:t xml:space="preserve"> </w:t>
      </w:r>
      <w:r>
        <w:t>funding?</w:t>
      </w:r>
    </w:p>
    <w:p w:rsidR="00522F52" w:rsidRDefault="004A348C">
      <w:pPr>
        <w:pStyle w:val="BodyText"/>
        <w:spacing w:before="43" w:line="259" w:lineRule="auto"/>
        <w:ind w:left="100" w:right="122"/>
        <w:jc w:val="both"/>
      </w:pPr>
      <w:r>
        <w:t>Applications that are strong in all criteria except funding potenti</w:t>
      </w:r>
      <w:r w:rsidR="00BC0C38">
        <w:t>al will not be eligible for CNR</w:t>
      </w:r>
      <w:r>
        <w:t xml:space="preserve"> seed grant funding.</w:t>
      </w:r>
    </w:p>
    <w:p w:rsidR="00522F52" w:rsidRPr="004641D7" w:rsidRDefault="004A348C">
      <w:pPr>
        <w:pStyle w:val="BodyText"/>
        <w:spacing w:before="116" w:line="259" w:lineRule="auto"/>
        <w:ind w:left="100" w:right="111"/>
        <w:jc w:val="both"/>
        <w:rPr>
          <w:u w:val="single"/>
        </w:rPr>
      </w:pPr>
      <w:r>
        <w:rPr>
          <w:b/>
        </w:rPr>
        <w:t xml:space="preserve">Scoring: </w:t>
      </w:r>
      <w:r>
        <w:t xml:space="preserve">Applications will be scored using the NIH scoring system (1-9 in integers, with 1 being the best). Scores will be assigned for each criterion. The significance, investigator, innovation, and approach criterion scores will be used to guide assignment of a scientific impact score by each reviewer. The final impact score will be the average of the impact scores assigned by all reviewers x 10. The final funding score will be the average of the individual funding scores x 10. </w:t>
      </w:r>
      <w:r w:rsidR="005030CE">
        <w:t xml:space="preserve">Reviewers are asked to provide </w:t>
      </w:r>
      <w:r w:rsidR="005030CE" w:rsidRPr="004641D7">
        <w:rPr>
          <w:u w:val="single"/>
        </w:rPr>
        <w:t>constructive feedback that can be used to improve subsequent submissions and increase chance of funding.</w:t>
      </w:r>
    </w:p>
    <w:p w:rsidR="00522F52" w:rsidRDefault="004A348C">
      <w:pPr>
        <w:spacing w:before="121"/>
        <w:ind w:left="100"/>
        <w:jc w:val="both"/>
      </w:pPr>
      <w:r>
        <w:rPr>
          <w:b/>
        </w:rPr>
        <w:t xml:space="preserve">Review timeline: </w:t>
      </w:r>
      <w:r>
        <w:t>A final impact score assigned within 6 weeks of the grant deadline.</w:t>
      </w:r>
    </w:p>
    <w:p w:rsidR="00522F52" w:rsidRDefault="004A348C">
      <w:pPr>
        <w:pStyle w:val="BodyText"/>
        <w:spacing w:before="140" w:line="259" w:lineRule="auto"/>
        <w:ind w:left="100" w:right="114"/>
        <w:jc w:val="both"/>
      </w:pPr>
      <w:r>
        <w:rPr>
          <w:b/>
        </w:rPr>
        <w:t xml:space="preserve">Funding selection: </w:t>
      </w:r>
      <w:r>
        <w:t>Applications will be selected for potential funding by the review committee based on their impact score and funding potential. Applications selected for fund</w:t>
      </w:r>
      <w:r w:rsidR="00BC0C38">
        <w:t>ing will be shared with the CNR</w:t>
      </w:r>
      <w:r>
        <w:t xml:space="preserve"> Executive Sponsors for their feedback and approval. Applications proposed for funding that are not denied by the Executive Sponsors within 2 weeks of distribution will be assumed to have tacit approval.</w:t>
      </w:r>
    </w:p>
    <w:p w:rsidR="00522F52" w:rsidRDefault="004A348C">
      <w:pPr>
        <w:pStyle w:val="BodyText"/>
        <w:spacing w:before="120" w:line="259" w:lineRule="auto"/>
        <w:ind w:left="100" w:right="111"/>
        <w:jc w:val="both"/>
      </w:pPr>
      <w:proofErr w:type="gramStart"/>
      <w:r>
        <w:rPr>
          <w:b/>
        </w:rPr>
        <w:t xml:space="preserve">Funding Procedures: </w:t>
      </w:r>
      <w:r>
        <w:t>The SLU Research Institute will be informed of successful applications by the review committee Chair.</w:t>
      </w:r>
      <w:proofErr w:type="gramEnd"/>
      <w:r>
        <w:t xml:space="preserve"> </w:t>
      </w:r>
    </w:p>
    <w:p w:rsidR="00522F52" w:rsidRDefault="00522F52">
      <w:pPr>
        <w:spacing w:line="259" w:lineRule="auto"/>
        <w:jc w:val="both"/>
        <w:sectPr w:rsidR="00522F52">
          <w:headerReference w:type="default" r:id="rId8"/>
          <w:type w:val="continuous"/>
          <w:pgSz w:w="12240" w:h="15840"/>
          <w:pgMar w:top="1100" w:right="600" w:bottom="280" w:left="620" w:header="724" w:footer="720" w:gutter="0"/>
          <w:cols w:space="720"/>
        </w:sectPr>
      </w:pPr>
    </w:p>
    <w:p w:rsidR="00522F52" w:rsidRDefault="00BC0C38">
      <w:pPr>
        <w:pStyle w:val="Heading1"/>
      </w:pPr>
      <w:r>
        <w:lastRenderedPageBreak/>
        <w:t>CNR</w:t>
      </w:r>
      <w:r w:rsidR="004A348C">
        <w:t xml:space="preserve"> Seed Grant Review Form</w:t>
      </w:r>
    </w:p>
    <w:p w:rsidR="00522F52" w:rsidRDefault="00522F52">
      <w:pPr>
        <w:pStyle w:val="BodyText"/>
        <w:spacing w:before="1"/>
        <w:rPr>
          <w:b/>
          <w:sz w:val="36"/>
        </w:rPr>
      </w:pPr>
    </w:p>
    <w:p w:rsidR="00522F52" w:rsidRDefault="004A348C">
      <w:pPr>
        <w:pStyle w:val="BodyText"/>
        <w:tabs>
          <w:tab w:val="left" w:pos="4463"/>
        </w:tabs>
        <w:ind w:left="100"/>
      </w:pPr>
      <w:r>
        <w:t xml:space="preserve">PI: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2F52" w:rsidRDefault="00522F52">
      <w:pPr>
        <w:pStyle w:val="BodyText"/>
        <w:spacing w:before="10"/>
        <w:rPr>
          <w:sz w:val="27"/>
        </w:rPr>
      </w:pPr>
    </w:p>
    <w:p w:rsidR="00522F52" w:rsidRDefault="004A348C">
      <w:pPr>
        <w:pStyle w:val="BodyText"/>
        <w:tabs>
          <w:tab w:val="left" w:pos="9077"/>
        </w:tabs>
        <w:spacing w:before="94"/>
        <w:ind w:left="100"/>
      </w:pPr>
      <w:r>
        <w:t>Proposal</w:t>
      </w:r>
      <w:r>
        <w:rPr>
          <w:spacing w:val="-6"/>
        </w:rPr>
        <w:t xml:space="preserve"> </w:t>
      </w:r>
      <w:r>
        <w:t xml:space="preserve">title: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2F52" w:rsidRDefault="00522F52">
      <w:pPr>
        <w:pStyle w:val="BodyText"/>
        <w:rPr>
          <w:sz w:val="17"/>
        </w:rPr>
      </w:pPr>
    </w:p>
    <w:p w:rsidR="00522F52" w:rsidRDefault="004A348C">
      <w:pPr>
        <w:tabs>
          <w:tab w:val="left" w:pos="3698"/>
        </w:tabs>
        <w:spacing w:before="94"/>
        <w:ind w:left="100"/>
      </w:pPr>
      <w:r>
        <w:rPr>
          <w:b/>
        </w:rPr>
        <w:t xml:space="preserve">Significance </w:t>
      </w:r>
      <w:r>
        <w:t>(Criterion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</w:p>
    <w:p w:rsidR="00522F52" w:rsidRDefault="00522F52">
      <w:pPr>
        <w:pStyle w:val="BodyText"/>
        <w:rPr>
          <w:sz w:val="24"/>
        </w:rPr>
      </w:pPr>
    </w:p>
    <w:p w:rsidR="00522F52" w:rsidRDefault="00522F52">
      <w:pPr>
        <w:pStyle w:val="BodyText"/>
        <w:rPr>
          <w:sz w:val="24"/>
        </w:rPr>
      </w:pPr>
    </w:p>
    <w:p w:rsidR="00522F52" w:rsidRDefault="00522F52">
      <w:pPr>
        <w:pStyle w:val="BodyText"/>
        <w:spacing w:before="11"/>
        <w:rPr>
          <w:sz w:val="24"/>
        </w:rPr>
      </w:pPr>
    </w:p>
    <w:p w:rsidR="00522F52" w:rsidRDefault="004A348C">
      <w:pPr>
        <w:tabs>
          <w:tab w:val="left" w:pos="3648"/>
        </w:tabs>
        <w:ind w:left="100"/>
      </w:pPr>
      <w:r>
        <w:rPr>
          <w:b/>
        </w:rPr>
        <w:t xml:space="preserve">Investigator </w:t>
      </w:r>
      <w:r>
        <w:t>(Criterion</w:t>
      </w:r>
      <w:r>
        <w:rPr>
          <w:spacing w:val="-6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</w:p>
    <w:p w:rsidR="00522F52" w:rsidRDefault="00522F52">
      <w:pPr>
        <w:pStyle w:val="BodyText"/>
        <w:rPr>
          <w:sz w:val="24"/>
        </w:rPr>
      </w:pPr>
    </w:p>
    <w:p w:rsidR="00522F52" w:rsidRDefault="00522F52">
      <w:pPr>
        <w:pStyle w:val="BodyText"/>
        <w:rPr>
          <w:sz w:val="24"/>
        </w:rPr>
      </w:pPr>
    </w:p>
    <w:p w:rsidR="00522F52" w:rsidRDefault="00522F52">
      <w:pPr>
        <w:pStyle w:val="BodyText"/>
        <w:rPr>
          <w:sz w:val="25"/>
        </w:rPr>
      </w:pPr>
    </w:p>
    <w:p w:rsidR="00522F52" w:rsidRDefault="004A348C">
      <w:pPr>
        <w:tabs>
          <w:tab w:val="left" w:pos="3513"/>
        </w:tabs>
        <w:ind w:left="100"/>
      </w:pPr>
      <w:r>
        <w:rPr>
          <w:b/>
        </w:rPr>
        <w:t xml:space="preserve">Innovation </w:t>
      </w:r>
      <w:r>
        <w:t>(Criterion</w:t>
      </w:r>
      <w:r>
        <w:rPr>
          <w:spacing w:val="-7"/>
        </w:rPr>
        <w:t xml:space="preserve"> </w:t>
      </w:r>
      <w:r>
        <w:t>score 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spacing w:before="9"/>
        <w:rPr>
          <w:sz w:val="24"/>
        </w:rPr>
      </w:pPr>
    </w:p>
    <w:p w:rsidR="00522F52" w:rsidRDefault="004A348C">
      <w:pPr>
        <w:tabs>
          <w:tab w:val="left" w:pos="3430"/>
        </w:tabs>
        <w:spacing w:before="94"/>
        <w:ind w:left="100"/>
      </w:pPr>
      <w:r>
        <w:rPr>
          <w:b/>
        </w:rPr>
        <w:t xml:space="preserve">Approach </w:t>
      </w:r>
      <w:r>
        <w:t>(Criterion</w:t>
      </w:r>
      <w:r>
        <w:rPr>
          <w:spacing w:val="-3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=</w:t>
      </w:r>
      <w:r>
        <w:tab/>
        <w:t xml:space="preserve">) </w:t>
      </w:r>
    </w:p>
    <w:p w:rsidR="00522F52" w:rsidRDefault="0033506C">
      <w:pPr>
        <w:pStyle w:val="BodyText"/>
        <w:spacing w:line="20" w:lineRule="exact"/>
        <w:ind w:left="287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6BBF141" wp14:editId="4322F998">
                <wp:extent cx="309880" cy="8890"/>
                <wp:effectExtent l="9525" t="9525" r="1397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8890"/>
                          <a:chOff x="0" y="0"/>
                          <a:chExt cx="488" cy="14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4" o:spid="_x0000_s1026" style="width:24.4pt;height:.7pt;mso-position-horizontal-relative:char;mso-position-vertical-relative:line" coordsize="4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">
                <v:line id="Line 5" o:spid="_x0000_s1027" style="position:absolute;visibility:visible;mso-wrap-style:square" from="0,7" to="48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858QAAADaAAAADwAAAGRycy9kb3ducmV2LnhtbESPzWrDMBCE74W+g9hCL6aR06QluJFN&#10;MRgChUB+el+sje3GWrmWYrtvHwUKOQ4z8w2zzibTioF611hWMJ/FIIhLqxuuFBwPxcsKhPPIGlvL&#10;pOCPHGTp48MaE21H3tGw95UIEHYJKqi97xIpXVmTQTezHXHwTrY36IPsK6l7HAPctPI1jt+lwYbD&#10;Qo0d5TWV5/3FKPiKluff/OdooqFYfG+Kdou7ZaTU89P0+QHC0+Tv4f/2Rit4g9uVc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vznxAAAANoAAAAPAAAAAAAAAAAA&#10;AAAAAKECAABkcnMvZG93bnJldi54bWxQSwUGAAAAAAQABAD5AAAAkgMAAAAA&#10;" strokeweight=".24536mm"/>
                <w10:anchorlock/>
              </v:group>
            </w:pict>
          </mc:Fallback>
        </mc:AlternateContent>
      </w: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spacing w:before="1"/>
        <w:rPr>
          <w:sz w:val="23"/>
        </w:rPr>
      </w:pPr>
    </w:p>
    <w:p w:rsidR="00522F52" w:rsidRDefault="004A348C">
      <w:pPr>
        <w:tabs>
          <w:tab w:val="left" w:pos="3922"/>
        </w:tabs>
        <w:spacing w:before="94"/>
        <w:ind w:left="100"/>
      </w:pPr>
      <w:r>
        <w:rPr>
          <w:b/>
        </w:rPr>
        <w:t xml:space="preserve">Overall impact </w:t>
      </w:r>
      <w:r>
        <w:t>(Criterion</w:t>
      </w:r>
      <w:r>
        <w:rPr>
          <w:spacing w:val="-4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=</w:t>
      </w:r>
      <w:r>
        <w:tab/>
        <w:t xml:space="preserve">) </w:t>
      </w:r>
    </w:p>
    <w:p w:rsidR="00522F52" w:rsidRDefault="0033506C">
      <w:pPr>
        <w:pStyle w:val="BodyText"/>
        <w:spacing w:line="20" w:lineRule="exact"/>
        <w:ind w:left="336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93C2B7" wp14:editId="75A1B54D">
                <wp:extent cx="312420" cy="8890"/>
                <wp:effectExtent l="9525" t="9525" r="1143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8890"/>
                          <a:chOff x="0" y="0"/>
                          <a:chExt cx="492" cy="1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7"/>
                            <a:ext cx="4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" o:spid="_x0000_s1026" style="width:24.6pt;height:.7pt;mso-position-horizontal-relative:char;mso-position-vertical-relative:line" coordsize="4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">
                <v:line id="Line 3" o:spid="_x0000_s1027" style="position:absolute;visibility:visible;mso-wrap-style:square" from="0,7" to="4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rPr>
          <w:sz w:val="20"/>
        </w:rPr>
      </w:pPr>
    </w:p>
    <w:p w:rsidR="00522F52" w:rsidRDefault="00522F52">
      <w:pPr>
        <w:pStyle w:val="BodyText"/>
        <w:spacing w:before="1"/>
        <w:rPr>
          <w:sz w:val="23"/>
        </w:rPr>
      </w:pPr>
    </w:p>
    <w:p w:rsidR="00522F52" w:rsidRDefault="004A348C">
      <w:pPr>
        <w:tabs>
          <w:tab w:val="left" w:pos="4245"/>
        </w:tabs>
        <w:spacing w:before="94"/>
        <w:ind w:left="100"/>
      </w:pPr>
      <w:r>
        <w:rPr>
          <w:b/>
        </w:rPr>
        <w:t xml:space="preserve">Funding potential </w:t>
      </w:r>
      <w:r>
        <w:t>(Criterion</w:t>
      </w:r>
      <w:r>
        <w:rPr>
          <w:spacing w:val="-6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</w:p>
    <w:sectPr w:rsidR="00522F52">
      <w:pgSz w:w="12240" w:h="15840"/>
      <w:pgMar w:top="1100" w:right="600" w:bottom="280" w:left="6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BC" w:rsidRDefault="00D34BBC">
      <w:r>
        <w:separator/>
      </w:r>
    </w:p>
  </w:endnote>
  <w:endnote w:type="continuationSeparator" w:id="0">
    <w:p w:rsidR="00D34BBC" w:rsidRDefault="00D3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BC" w:rsidRDefault="00D34BBC">
      <w:r>
        <w:separator/>
      </w:r>
    </w:p>
  </w:footnote>
  <w:footnote w:type="continuationSeparator" w:id="0">
    <w:p w:rsidR="00D34BBC" w:rsidRDefault="00D3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53" w:rsidRDefault="003C535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D7C665" wp14:editId="10E2DB9F">
              <wp:simplePos x="0" y="0"/>
              <wp:positionH relativeFrom="page">
                <wp:posOffset>6520180</wp:posOffset>
              </wp:positionH>
              <wp:positionV relativeFrom="page">
                <wp:posOffset>447040</wp:posOffset>
              </wp:positionV>
              <wp:extent cx="80772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353" w:rsidRDefault="003C535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April 20,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4pt;margin-top:35.2pt;width:63.6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" filled="f" stroked="f">
              <v:textbox inset="0,0,0,0">
                <w:txbxContent>
                  <w:p w:rsidR="00522F52" w:rsidRDefault="004A348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April 20,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A3"/>
    <w:multiLevelType w:val="hybridMultilevel"/>
    <w:tmpl w:val="4266CA60"/>
    <w:lvl w:ilvl="0" w:tplc="72687762">
      <w:numFmt w:val="bullet"/>
      <w:lvlText w:val=""/>
      <w:lvlJc w:val="left"/>
      <w:pPr>
        <w:ind w:left="87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8300292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en-US"/>
      </w:rPr>
    </w:lvl>
    <w:lvl w:ilvl="2" w:tplc="DF041D4C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en-US"/>
      </w:rPr>
    </w:lvl>
    <w:lvl w:ilvl="3" w:tplc="4DF64326">
      <w:numFmt w:val="bullet"/>
      <w:lvlText w:val="•"/>
      <w:lvlJc w:val="left"/>
      <w:pPr>
        <w:ind w:left="3922" w:hanging="361"/>
      </w:pPr>
      <w:rPr>
        <w:rFonts w:hint="default"/>
        <w:lang w:val="en-US" w:eastAsia="en-US" w:bidi="en-US"/>
      </w:rPr>
    </w:lvl>
    <w:lvl w:ilvl="4" w:tplc="7A2EC60A">
      <w:numFmt w:val="bullet"/>
      <w:lvlText w:val="•"/>
      <w:lvlJc w:val="left"/>
      <w:pPr>
        <w:ind w:left="4936" w:hanging="361"/>
      </w:pPr>
      <w:rPr>
        <w:rFonts w:hint="default"/>
        <w:lang w:val="en-US" w:eastAsia="en-US" w:bidi="en-US"/>
      </w:rPr>
    </w:lvl>
    <w:lvl w:ilvl="5" w:tplc="2862B39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en-US"/>
      </w:rPr>
    </w:lvl>
    <w:lvl w:ilvl="6" w:tplc="068C92BA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en-US"/>
      </w:rPr>
    </w:lvl>
    <w:lvl w:ilvl="7" w:tplc="62CEFE26">
      <w:numFmt w:val="bullet"/>
      <w:lvlText w:val="•"/>
      <w:lvlJc w:val="left"/>
      <w:pPr>
        <w:ind w:left="7978" w:hanging="361"/>
      </w:pPr>
      <w:rPr>
        <w:rFonts w:hint="default"/>
        <w:lang w:val="en-US" w:eastAsia="en-US" w:bidi="en-US"/>
      </w:rPr>
    </w:lvl>
    <w:lvl w:ilvl="8" w:tplc="C2F6E52A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52"/>
    <w:rsid w:val="000702E1"/>
    <w:rsid w:val="000B5F73"/>
    <w:rsid w:val="00113437"/>
    <w:rsid w:val="00157365"/>
    <w:rsid w:val="001D36C8"/>
    <w:rsid w:val="001E0EEF"/>
    <w:rsid w:val="002B334B"/>
    <w:rsid w:val="002C425D"/>
    <w:rsid w:val="0033506C"/>
    <w:rsid w:val="003C5353"/>
    <w:rsid w:val="004641D7"/>
    <w:rsid w:val="004A348C"/>
    <w:rsid w:val="004C4DD4"/>
    <w:rsid w:val="005030CE"/>
    <w:rsid w:val="00522F52"/>
    <w:rsid w:val="0058423A"/>
    <w:rsid w:val="005B2EAF"/>
    <w:rsid w:val="0064113B"/>
    <w:rsid w:val="00774359"/>
    <w:rsid w:val="00804490"/>
    <w:rsid w:val="00850C76"/>
    <w:rsid w:val="00900886"/>
    <w:rsid w:val="00925F60"/>
    <w:rsid w:val="009B5BB4"/>
    <w:rsid w:val="00AE3DDC"/>
    <w:rsid w:val="00B41BFE"/>
    <w:rsid w:val="00BC0C38"/>
    <w:rsid w:val="00BC31A4"/>
    <w:rsid w:val="00C47339"/>
    <w:rsid w:val="00D34BBC"/>
    <w:rsid w:val="00D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33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3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39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8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4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3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339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39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39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Tavis</dc:creator>
  <cp:lastModifiedBy>Susan A. Farr, Ph.D.</cp:lastModifiedBy>
  <cp:revision>5</cp:revision>
  <cp:lastPrinted>2020-05-12T14:36:00Z</cp:lastPrinted>
  <dcterms:created xsi:type="dcterms:W3CDTF">2020-05-14T16:20:00Z</dcterms:created>
  <dcterms:modified xsi:type="dcterms:W3CDTF">2020-05-14T16:30:00Z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2020-04-21T00:00:00Z</vt:filetime>
  </property>
</Properties>
</file>