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bookmarkStart w:id="0" w:name="_GoBack"/>
      <w:bookmarkEnd w:id="0"/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D5F826B" w14:textId="1F909564" w:rsidR="00277B0D" w:rsidRDefault="001203AC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HENRY AND AMELI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A N</w:t>
      </w:r>
      <w:r w:rsidR="00DD1CC8">
        <w:rPr>
          <w:rFonts w:ascii="Arial" w:eastAsia="Calibri" w:hAnsi="Arial" w:cs="Arial"/>
          <w:b/>
          <w:bCs/>
          <w:color w:val="1F497D"/>
          <w:sz w:val="32"/>
          <w:szCs w:val="32"/>
        </w:rPr>
        <w:t>A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SRALLAH</w:t>
      </w:r>
    </w:p>
    <w:p w14:paraId="38794B6F" w14:textId="3C3825AC" w:rsidR="00413DB6" w:rsidRPr="0087090C" w:rsidRDefault="00B248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CENTER FOR NEUROSCIENCE 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CNR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0B0AE609" w:rsidR="009E5035" w:rsidRPr="00F25812" w:rsidRDefault="00C93DCD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r w:rsidRPr="009165B7">
        <w:rPr>
          <w:rFonts w:ascii="Arial" w:hAnsi="Arial" w:cs="Arial"/>
          <w:sz w:val="22"/>
          <w:szCs w:val="22"/>
        </w:rPr>
        <w:t xml:space="preserve">to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r w:rsidR="00277B0D" w:rsidRPr="00277B0D">
        <w:rPr>
          <w:rFonts w:ascii="Arial" w:hAnsi="Arial" w:cs="Arial"/>
          <w:color w:val="365F91" w:themeColor="accent1" w:themeShade="BF"/>
          <w:sz w:val="22"/>
          <w:szCs w:val="22"/>
        </w:rPr>
        <w:t>SLU_neuroscience@health.slu.edu</w:t>
      </w:r>
      <w:r w:rsidR="00D33BDB" w:rsidRPr="00277B0D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9165B7">
        <w:rPr>
          <w:rFonts w:ascii="Arial" w:hAnsi="Arial" w:cs="Arial"/>
          <w:sz w:val="22"/>
          <w:szCs w:val="22"/>
        </w:rPr>
        <w:t xml:space="preserve">the </w:t>
      </w:r>
      <w:r w:rsidR="00277B0D">
        <w:rPr>
          <w:rFonts w:ascii="Arial" w:hAnsi="Arial" w:cs="Arial"/>
          <w:sz w:val="22"/>
          <w:szCs w:val="22"/>
        </w:rPr>
        <w:t>March 2020</w:t>
      </w:r>
      <w:r w:rsidR="009D06CF">
        <w:rPr>
          <w:rFonts w:ascii="Arial" w:hAnsi="Arial" w:cs="Arial"/>
          <w:sz w:val="22"/>
          <w:szCs w:val="22"/>
        </w:rPr>
        <w:t xml:space="preserve"> CNR</w:t>
      </w:r>
      <w:r w:rsidR="000D1096" w:rsidRPr="000D1096">
        <w:rPr>
          <w:rFonts w:ascii="Arial" w:hAnsi="Arial" w:cs="Arial"/>
          <w:sz w:val="22"/>
          <w:szCs w:val="22"/>
        </w:rPr>
        <w:t xml:space="preserve"> Application</w:t>
      </w:r>
      <w:r w:rsidRPr="00C417EE">
        <w:rPr>
          <w:rFonts w:ascii="Arial" w:hAnsi="Arial" w:cs="Arial"/>
          <w:sz w:val="22"/>
          <w:szCs w:val="22"/>
        </w:rPr>
        <w:t xml:space="preserve"> 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66A61AD0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Deadline: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B24868">
        <w:rPr>
          <w:rFonts w:ascii="Arial" w:eastAsia="Calibri" w:hAnsi="Arial" w:cs="Arial"/>
          <w:b/>
          <w:bCs/>
          <w:color w:val="7030A0"/>
          <w:sz w:val="32"/>
          <w:szCs w:val="32"/>
        </w:rPr>
        <w:t>September</w:t>
      </w:r>
      <w:r w:rsidR="00B24868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DF7204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15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, </w:t>
      </w:r>
      <w:r w:rsidR="00277B0D">
        <w:rPr>
          <w:rFonts w:ascii="Arial" w:eastAsia="Calibri" w:hAnsi="Arial" w:cs="Arial"/>
          <w:b/>
          <w:bCs/>
          <w:color w:val="7030A0"/>
          <w:sz w:val="32"/>
          <w:szCs w:val="32"/>
        </w:rPr>
        <w:t>2020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6B3B5F6F" w:rsidR="00B62256" w:rsidRPr="00B62256" w:rsidRDefault="00B24868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4"/>
        </w:rPr>
      </w:pPr>
      <w:r>
        <w:rPr>
          <w:rFonts w:ascii="Arial" w:eastAsia="Calibri" w:hAnsi="Arial" w:cs="Arial"/>
          <w:color w:val="000000"/>
          <w:sz w:val="24"/>
        </w:rPr>
        <w:t>Center for Neuroscience Research Award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(</w:t>
      </w:r>
      <w:r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) supports promising projects that have strong potential to attract external funding. These funds have been made available since 2009 to support research and scholarly activity.  </w:t>
      </w:r>
      <w:r>
        <w:rPr>
          <w:rFonts w:ascii="Arial" w:eastAsia="Calibri" w:hAnsi="Arial" w:cs="Arial"/>
          <w:color w:val="000000"/>
          <w:sz w:val="24"/>
        </w:rPr>
        <w:t>CNR</w:t>
      </w:r>
      <w:r w:rsidR="00B62256" w:rsidRPr="00B62256">
        <w:rPr>
          <w:rFonts w:ascii="Arial" w:eastAsia="Calibri" w:hAnsi="Arial" w:cs="Arial"/>
          <w:color w:val="000000"/>
          <w:sz w:val="24"/>
        </w:rPr>
        <w:t xml:space="preserve"> awards are aimed at supporting the collection of data or other pilot activities that the </w:t>
      </w:r>
      <w:r w:rsidR="00B62256" w:rsidRPr="00B62256">
        <w:rPr>
          <w:rFonts w:ascii="Arial" w:eastAsia="Calibri" w:hAnsi="Arial" w:cs="Arial"/>
          <w:sz w:val="24"/>
        </w:rPr>
        <w:t xml:space="preserve">awardee will use as the basis for extramural grant or contract applications. The </w:t>
      </w:r>
      <w:r>
        <w:rPr>
          <w:rFonts w:ascii="Arial" w:eastAsia="Calibri" w:hAnsi="Arial" w:cs="Arial"/>
          <w:sz w:val="24"/>
        </w:rPr>
        <w:t>CNR</w:t>
      </w:r>
      <w:r w:rsidR="00B62256" w:rsidRPr="00B62256">
        <w:rPr>
          <w:rFonts w:ascii="Arial" w:eastAsia="Calibri" w:hAnsi="Arial" w:cs="Arial"/>
          <w:sz w:val="24"/>
        </w:rPr>
        <w:t xml:space="preserve"> funds can be used for seed funding for a project, bridge funding, development of a new</w:t>
      </w:r>
      <w:r w:rsidR="00B62256">
        <w:rPr>
          <w:rFonts w:ascii="Arial" w:eastAsia="Calibri" w:hAnsi="Arial" w:cs="Arial"/>
          <w:sz w:val="24"/>
        </w:rPr>
        <w:t xml:space="preserve"> collaboration or</w:t>
      </w:r>
      <w:r w:rsidR="00B62256" w:rsidRPr="00B62256">
        <w:rPr>
          <w:rFonts w:ascii="Arial" w:eastAsia="Calibri" w:hAnsi="Arial" w:cs="Arial"/>
          <w:sz w:val="24"/>
        </w:rPr>
        <w:t xml:space="preserve"> area of research</w:t>
      </w:r>
      <w:r w:rsidR="00B62256">
        <w:rPr>
          <w:rFonts w:ascii="Arial" w:eastAsia="Calibri" w:hAnsi="Arial" w:cs="Arial"/>
          <w:sz w:val="24"/>
        </w:rPr>
        <w:t>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1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69C1989D" w14:textId="1DE31FED" w:rsidR="00C6432C" w:rsidRPr="00C6432C" w:rsidRDefault="00C6432C" w:rsidP="00C6432C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Center has money to fund be 2 awards. There will be 1 award for $20,000 and 1 for $10,000. Applicants may apply </w:t>
      </w:r>
      <w:r w:rsidR="00413DB6" w:rsidRPr="00E616DA">
        <w:rPr>
          <w:rFonts w:ascii="Arial" w:eastAsia="Calibri" w:hAnsi="Arial" w:cs="Arial"/>
          <w:sz w:val="22"/>
          <w:szCs w:val="22"/>
        </w:rPr>
        <w:t>for funding up to $</w:t>
      </w:r>
      <w:r w:rsidR="00D5315F">
        <w:rPr>
          <w:rFonts w:ascii="Arial" w:eastAsia="Calibri" w:hAnsi="Arial" w:cs="Arial"/>
          <w:sz w:val="22"/>
          <w:szCs w:val="22"/>
        </w:rPr>
        <w:t>20,000 or $</w:t>
      </w:r>
      <w:r w:rsidR="00B24868">
        <w:rPr>
          <w:rFonts w:ascii="Arial" w:eastAsia="Calibri" w:hAnsi="Arial" w:cs="Arial"/>
          <w:sz w:val="22"/>
          <w:szCs w:val="22"/>
        </w:rPr>
        <w:t>10</w:t>
      </w:r>
      <w:r w:rsidR="00413DB6" w:rsidRPr="00E616DA">
        <w:rPr>
          <w:rFonts w:ascii="Arial" w:eastAsia="Calibri" w:hAnsi="Arial" w:cs="Arial"/>
          <w:sz w:val="22"/>
          <w:szCs w:val="22"/>
        </w:rPr>
        <w:t xml:space="preserve">,000 </w:t>
      </w:r>
      <w:r w:rsidR="00E616DA">
        <w:rPr>
          <w:rFonts w:ascii="Arial" w:eastAsia="Calibri" w:hAnsi="Arial" w:cs="Arial"/>
          <w:sz w:val="22"/>
          <w:szCs w:val="22"/>
        </w:rPr>
        <w:t xml:space="preserve">for </w:t>
      </w:r>
      <w:r w:rsidR="00B24868">
        <w:rPr>
          <w:rFonts w:ascii="Arial" w:eastAsia="Calibri" w:hAnsi="Arial" w:cs="Arial"/>
          <w:sz w:val="22"/>
          <w:szCs w:val="22"/>
        </w:rPr>
        <w:t>collaborative projects.</w:t>
      </w:r>
      <w:r w:rsidR="00CD094A" w:rsidRPr="00270620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 the event that we only receive applicantions for $20,000 then the application with the best score will receive the $20,000 and the applicant with the second best score will receive $10,000.</w:t>
      </w:r>
    </w:p>
    <w:p w14:paraId="4B270968" w14:textId="77777777" w:rsidR="007C5933" w:rsidRPr="00F25812" w:rsidRDefault="007C5933" w:rsidP="001C0F1E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Period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5D47AEC5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The m</w:t>
      </w:r>
      <w:r w:rsidR="00C6432C">
        <w:rPr>
          <w:rFonts w:ascii="Arial" w:eastAsia="Calibri" w:hAnsi="Arial" w:cs="Arial"/>
          <w:bCs/>
          <w:sz w:val="22"/>
          <w:szCs w:val="22"/>
        </w:rPr>
        <w:t>aximum term of support for a CNR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B24868">
        <w:rPr>
          <w:rFonts w:ascii="Arial" w:eastAsia="Calibri" w:hAnsi="Arial" w:cs="Arial"/>
          <w:bCs/>
          <w:sz w:val="22"/>
          <w:szCs w:val="22"/>
        </w:rPr>
        <w:t>September</w:t>
      </w:r>
      <w:r w:rsidR="00F56AB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C6432C">
        <w:rPr>
          <w:rFonts w:ascii="Arial" w:eastAsia="Calibri" w:hAnsi="Arial" w:cs="Arial"/>
          <w:bCs/>
          <w:sz w:val="22"/>
          <w:szCs w:val="22"/>
        </w:rPr>
        <w:t>2020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r w:rsidR="00277B0D">
        <w:rPr>
          <w:rFonts w:ascii="Arial" w:eastAsia="Calibri" w:hAnsi="Arial" w:cs="Arial"/>
          <w:bCs/>
          <w:sz w:val="22"/>
          <w:szCs w:val="22"/>
        </w:rPr>
        <w:t>Januray 1, 2021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Deadlines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2A308F45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The application deadline is </w:t>
      </w:r>
      <w:r w:rsidR="00B24868">
        <w:rPr>
          <w:rFonts w:ascii="Arial" w:eastAsia="Calibri" w:hAnsi="Arial" w:cs="Arial"/>
          <w:bCs/>
          <w:sz w:val="22"/>
          <w:szCs w:val="22"/>
        </w:rPr>
        <w:t xml:space="preserve">September </w:t>
      </w:r>
      <w:r>
        <w:rPr>
          <w:rFonts w:ascii="Arial" w:eastAsia="Calibri" w:hAnsi="Arial" w:cs="Arial"/>
          <w:bCs/>
          <w:sz w:val="22"/>
          <w:szCs w:val="22"/>
        </w:rPr>
        <w:t xml:space="preserve">15, </w:t>
      </w:r>
      <w:r w:rsidR="00E616DA">
        <w:rPr>
          <w:rFonts w:ascii="Arial" w:eastAsia="Calibri" w:hAnsi="Arial" w:cs="Arial"/>
          <w:bCs/>
          <w:sz w:val="22"/>
          <w:szCs w:val="22"/>
        </w:rPr>
        <w:t>201</w:t>
      </w:r>
      <w:r w:rsidR="00B24868">
        <w:rPr>
          <w:rFonts w:ascii="Arial" w:eastAsia="Calibri" w:hAnsi="Arial" w:cs="Arial"/>
          <w:bCs/>
          <w:sz w:val="22"/>
          <w:szCs w:val="22"/>
        </w:rPr>
        <w:t>9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51D83CDB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A7780">
        <w:rPr>
          <w:rFonts w:ascii="Arial" w:eastAsia="Calibri" w:hAnsi="Arial" w:cs="Arial"/>
          <w:b/>
          <w:bCs/>
          <w:sz w:val="22"/>
          <w:szCs w:val="22"/>
        </w:rPr>
        <w:t>submitted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Center for Neuroscience e-mail at 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SLU</w:t>
      </w:r>
      <w:r w:rsidR="00277B0D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_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neuroscience@health.slu.edu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by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4" w:name="Eligibility"/>
      <w:bookmarkEnd w:id="4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5" w:name="PIsCoPIs"/>
      <w:bookmarkEnd w:id="5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60E713CE" w:rsidR="00C843C5" w:rsidRPr="00B62256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F25812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F25812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>
        <w:rPr>
          <w:rFonts w:ascii="Arial" w:eastAsia="Calibri" w:hAnsi="Arial" w:cs="Arial"/>
          <w:sz w:val="22"/>
          <w:szCs w:val="22"/>
        </w:rPr>
        <w:t xml:space="preserve">appointed </w:t>
      </w:r>
      <w:r w:rsidR="001A7780">
        <w:rPr>
          <w:rFonts w:ascii="Arial" w:eastAsia="Calibri" w:hAnsi="Arial" w:cs="Arial"/>
          <w:sz w:val="22"/>
          <w:szCs w:val="22"/>
        </w:rPr>
        <w:t>in</w:t>
      </w:r>
      <w:r w:rsidR="00E278EA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any school</w:t>
      </w:r>
      <w:r w:rsidR="002851A1">
        <w:rPr>
          <w:rFonts w:ascii="Arial" w:eastAsia="Calibri" w:hAnsi="Arial" w:cs="Arial"/>
          <w:sz w:val="22"/>
          <w:szCs w:val="22"/>
        </w:rPr>
        <w:t xml:space="preserve">, </w:t>
      </w:r>
      <w:r w:rsidRPr="00F25812">
        <w:rPr>
          <w:rFonts w:ascii="Arial" w:eastAsia="Calibri" w:hAnsi="Arial" w:cs="Arial"/>
          <w:sz w:val="22"/>
          <w:szCs w:val="22"/>
        </w:rPr>
        <w:t>college</w:t>
      </w:r>
      <w:r w:rsidR="002851A1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F25812">
        <w:rPr>
          <w:rFonts w:ascii="Arial" w:eastAsia="Calibri" w:hAnsi="Arial" w:cs="Arial"/>
          <w:sz w:val="22"/>
          <w:szCs w:val="22"/>
        </w:rPr>
        <w:t>at Saint Louis University</w:t>
      </w:r>
      <w:r w:rsidR="00277B0D">
        <w:rPr>
          <w:rFonts w:ascii="Arial" w:eastAsia="Calibri" w:hAnsi="Arial" w:cs="Arial"/>
          <w:sz w:val="22"/>
          <w:szCs w:val="22"/>
        </w:rPr>
        <w:t xml:space="preserve"> that are 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members of the Henry and Ameila Nsrallah Center for Neuroscience</w:t>
      </w:r>
      <w:r w:rsidRPr="00ED5AA8">
        <w:rPr>
          <w:rFonts w:ascii="Arial" w:eastAsia="Calibri" w:hAnsi="Arial" w:cs="Arial"/>
          <w:sz w:val="22"/>
          <w:szCs w:val="22"/>
          <w:u w:val="single"/>
        </w:rPr>
        <w:t xml:space="preserve"> are eligible to </w:t>
      </w:r>
      <w:r w:rsidR="00C54385" w:rsidRPr="00ED5AA8">
        <w:rPr>
          <w:rFonts w:ascii="Arial" w:eastAsia="Calibri" w:hAnsi="Arial" w:cs="Arial"/>
          <w:sz w:val="22"/>
          <w:szCs w:val="22"/>
          <w:u w:val="single"/>
        </w:rPr>
        <w:t>be a PI or Co-PI</w:t>
      </w:r>
      <w:r w:rsidR="00C843C5" w:rsidRPr="00ED5AA8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4385" w:rsidRPr="00ED5AA8">
        <w:rPr>
          <w:rFonts w:ascii="Arial" w:eastAsia="Calibri" w:hAnsi="Arial" w:cs="Arial"/>
          <w:sz w:val="22"/>
          <w:szCs w:val="22"/>
          <w:u w:val="single"/>
        </w:rPr>
        <w:t xml:space="preserve">on an application </w:t>
      </w:r>
      <w:r w:rsidRPr="00ED5AA8">
        <w:rPr>
          <w:rFonts w:ascii="Arial" w:eastAsia="Calibri" w:hAnsi="Arial" w:cs="Arial"/>
          <w:sz w:val="22"/>
          <w:szCs w:val="22"/>
          <w:u w:val="single"/>
        </w:rPr>
        <w:t xml:space="preserve">to the </w:t>
      </w:r>
      <w:r w:rsidR="00277B0D" w:rsidRPr="00ED5AA8">
        <w:rPr>
          <w:rFonts w:ascii="Arial" w:eastAsia="Calibri" w:hAnsi="Arial" w:cs="Arial"/>
          <w:sz w:val="22"/>
          <w:szCs w:val="22"/>
          <w:u w:val="single"/>
        </w:rPr>
        <w:t>CNR</w:t>
      </w:r>
      <w:r w:rsidR="00DD0E6A" w:rsidRPr="00F25812">
        <w:rPr>
          <w:rFonts w:ascii="Arial" w:eastAsia="Calibri" w:hAnsi="Arial" w:cs="Arial"/>
          <w:sz w:val="22"/>
          <w:szCs w:val="22"/>
        </w:rPr>
        <w:t xml:space="preserve">, provided they are appointed by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="00DD0E6A" w:rsidRPr="00F25812">
        <w:rPr>
          <w:rFonts w:ascii="Arial" w:eastAsia="Calibri" w:hAnsi="Arial" w:cs="Arial"/>
          <w:sz w:val="22"/>
          <w:szCs w:val="22"/>
        </w:rPr>
        <w:t xml:space="preserve"> application deadline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</w:p>
    <w:p w14:paraId="07DE265A" w14:textId="6D1C4FE3" w:rsidR="003265E8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bookmarkStart w:id="6" w:name="CrossSchool"/>
      <w:bookmarkEnd w:id="6"/>
      <w:r w:rsidRPr="003265E8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277B0D">
        <w:rPr>
          <w:rFonts w:ascii="Arial" w:eastAsia="Calibri" w:hAnsi="Arial" w:cs="Arial"/>
          <w:bCs/>
          <w:sz w:val="22"/>
          <w:szCs w:val="22"/>
        </w:rPr>
        <w:t>September 2020</w:t>
      </w:r>
      <w:r w:rsidR="00D5315F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competition, the </w:t>
      </w:r>
      <w:r w:rsidR="00D5315F">
        <w:rPr>
          <w:rFonts w:ascii="Arial" w:eastAsia="Calibri" w:hAnsi="Arial" w:cs="Arial"/>
          <w:bCs/>
          <w:sz w:val="22"/>
          <w:szCs w:val="22"/>
        </w:rPr>
        <w:t>CNR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 will continue </w:t>
      </w:r>
      <w:r w:rsidR="00A508B3">
        <w:rPr>
          <w:rFonts w:ascii="Arial" w:eastAsia="Calibri" w:hAnsi="Arial" w:cs="Arial"/>
          <w:bCs/>
          <w:sz w:val="22"/>
          <w:szCs w:val="22"/>
        </w:rPr>
        <w:t>to seek</w:t>
      </w:r>
      <w:r w:rsidRPr="003265E8">
        <w:rPr>
          <w:rFonts w:ascii="Arial" w:eastAsia="Calibri" w:hAnsi="Arial" w:cs="Arial"/>
          <w:bCs/>
          <w:sz w:val="22"/>
          <w:szCs w:val="22"/>
        </w:rPr>
        <w:t xml:space="preserve"> multidisciplinary collaborations across the Saint Louis University campus. </w:t>
      </w:r>
      <w:r w:rsidR="00D5315F">
        <w:rPr>
          <w:rFonts w:ascii="Arial" w:eastAsia="Calibri" w:hAnsi="Arial" w:cs="Arial"/>
          <w:bCs/>
          <w:sz w:val="22"/>
          <w:szCs w:val="22"/>
        </w:rPr>
        <w:t>P</w:t>
      </w:r>
      <w:r w:rsidRPr="003265E8">
        <w:rPr>
          <w:rFonts w:ascii="Arial" w:eastAsia="Calibri" w:hAnsi="Arial" w:cs="Arial"/>
          <w:sz w:val="22"/>
          <w:szCs w:val="22"/>
        </w:rPr>
        <w:t>rojects that are cross-disciplinary in nature will be selected for funding, at $</w:t>
      </w:r>
      <w:r w:rsidR="00D5315F">
        <w:rPr>
          <w:rFonts w:ascii="Arial" w:eastAsia="Calibri" w:hAnsi="Arial" w:cs="Arial"/>
          <w:sz w:val="22"/>
          <w:szCs w:val="22"/>
        </w:rPr>
        <w:t>2</w:t>
      </w:r>
      <w:r w:rsidRPr="003265E8">
        <w:rPr>
          <w:rFonts w:ascii="Arial" w:eastAsia="Calibri" w:hAnsi="Arial" w:cs="Arial"/>
          <w:sz w:val="22"/>
          <w:szCs w:val="22"/>
        </w:rPr>
        <w:t>0,000</w:t>
      </w:r>
      <w:r w:rsidR="00D5315F">
        <w:rPr>
          <w:rFonts w:ascii="Arial" w:eastAsia="Calibri" w:hAnsi="Arial" w:cs="Arial"/>
          <w:sz w:val="22"/>
          <w:szCs w:val="22"/>
        </w:rPr>
        <w:t xml:space="preserve"> or $10,000</w:t>
      </w:r>
      <w:r w:rsidRPr="003265E8">
        <w:rPr>
          <w:rFonts w:ascii="Arial" w:eastAsia="Calibri" w:hAnsi="Arial" w:cs="Arial"/>
          <w:sz w:val="22"/>
          <w:szCs w:val="22"/>
        </w:rPr>
        <w:t xml:space="preserve"> each. Eligible projects are those that cross traditional boundaries between academic disciplines.</w:t>
      </w:r>
    </w:p>
    <w:p w14:paraId="5FDA7389" w14:textId="4068CB2D" w:rsidR="00773885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</w:t>
      </w:r>
      <w:r w:rsidRPr="00F25812">
        <w:rPr>
          <w:rFonts w:ascii="Arial" w:eastAsia="Calibri" w:hAnsi="Arial" w:cs="Arial"/>
          <w:sz w:val="22"/>
          <w:szCs w:val="22"/>
        </w:rPr>
        <w:t xml:space="preserve">pplications that cross very distinct disciplines within </w:t>
      </w:r>
      <w:r w:rsidR="002851A1">
        <w:rPr>
          <w:rFonts w:ascii="Arial" w:eastAsia="Calibri" w:hAnsi="Arial" w:cs="Arial"/>
          <w:sz w:val="22"/>
          <w:szCs w:val="22"/>
        </w:rPr>
        <w:t>the same</w:t>
      </w:r>
      <w:r w:rsidR="002851A1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77777777" w:rsidR="00EE0E4C" w:rsidRPr="00DF79C2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DF79C2">
        <w:rPr>
          <w:rFonts w:ascii="Arial" w:eastAsia="Calibri" w:hAnsi="Arial" w:cs="Arial"/>
          <w:sz w:val="22"/>
          <w:szCs w:val="22"/>
        </w:rPr>
        <w:t xml:space="preserve">Successful applications will effectively convey how </w:t>
      </w:r>
      <w:r w:rsidRPr="00DF79C2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Pr="00DF79C2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 required, the PI will </w:t>
      </w:r>
      <w:r w:rsidR="00A70CC4">
        <w:rPr>
          <w:rFonts w:ascii="Arial" w:eastAsia="Calibri" w:hAnsi="Arial" w:cs="Arial"/>
          <w:sz w:val="22"/>
          <w:szCs w:val="22"/>
        </w:rPr>
        <w:t xml:space="preserve">retain </w:t>
      </w:r>
      <w:r w:rsidRPr="00DF79C2">
        <w:rPr>
          <w:rFonts w:ascii="Arial" w:eastAsia="Calibri" w:hAnsi="Arial" w:cs="Arial"/>
          <w:sz w:val="22"/>
          <w:szCs w:val="22"/>
        </w:rPr>
        <w:t>administrative responsibilities</w:t>
      </w:r>
      <w:r w:rsidR="00F25812" w:rsidRPr="00DF79C2">
        <w:rPr>
          <w:rFonts w:ascii="Arial" w:eastAsia="Calibri" w:hAnsi="Arial" w:cs="Arial"/>
          <w:sz w:val="22"/>
          <w:szCs w:val="22"/>
        </w:rPr>
        <w:t xml:space="preserve"> </w:t>
      </w:r>
      <w:r w:rsidRPr="00DF79C2">
        <w:rPr>
          <w:rFonts w:ascii="Arial" w:eastAsia="Calibri" w:hAnsi="Arial" w:cs="Arial"/>
          <w:sz w:val="22"/>
          <w:szCs w:val="22"/>
        </w:rPr>
        <w:t>including communication with the Division of Research Administration.</w:t>
      </w:r>
      <w:r w:rsidR="00922512" w:rsidRPr="00DF79C2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61859BD9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B62256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PIs and </w:t>
      </w:r>
      <w:r w:rsidRPr="00B62256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B62256">
        <w:rPr>
          <w:rFonts w:ascii="Arial" w:eastAsia="Calibri" w:hAnsi="Arial" w:cs="Arial"/>
          <w:sz w:val="22"/>
          <w:szCs w:val="22"/>
        </w:rPr>
        <w:t xml:space="preserve">a </w:t>
      </w:r>
      <w:r w:rsidR="00277B0D">
        <w:rPr>
          <w:rFonts w:ascii="Arial" w:eastAsia="Calibri" w:hAnsi="Arial" w:cs="Arial"/>
          <w:sz w:val="22"/>
          <w:szCs w:val="22"/>
        </w:rPr>
        <w:t>5</w:t>
      </w:r>
      <w:r w:rsidR="00EE0E4C" w:rsidRPr="00B62256">
        <w:rPr>
          <w:rFonts w:ascii="Arial" w:eastAsia="Calibri" w:hAnsi="Arial" w:cs="Arial"/>
          <w:sz w:val="22"/>
          <w:szCs w:val="22"/>
        </w:rPr>
        <w:t>-page Biosketch</w:t>
      </w:r>
      <w:r w:rsidR="009D06CF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B62256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478BD579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lastRenderedPageBreak/>
        <w:t xml:space="preserve">All purchases made by the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Center for Neuroscience 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University-approved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9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0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ResearchExp"/>
      <w:bookmarkEnd w:id="7"/>
      <w:r w:rsidRPr="00F25812">
        <w:rPr>
          <w:rFonts w:ascii="Arial" w:eastAsia="Calibri" w:hAnsi="Arial" w:cs="Arial"/>
          <w:b/>
          <w:sz w:val="22"/>
          <w:szCs w:val="22"/>
        </w:rPr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11EB45A6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expenses requested from the </w:t>
      </w:r>
      <w:r w:rsidR="00277B0D">
        <w:rPr>
          <w:rFonts w:ascii="Arial" w:eastAsia="Calibri" w:hAnsi="Arial" w:cs="Arial"/>
          <w:sz w:val="22"/>
          <w:szCs w:val="22"/>
        </w:rPr>
        <w:t xml:space="preserve">CNR </w:t>
      </w:r>
      <w:r w:rsidRPr="00F25812">
        <w:rPr>
          <w:rFonts w:ascii="Arial" w:eastAsia="Calibri" w:hAnsi="Arial" w:cs="Arial"/>
          <w:sz w:val="22"/>
          <w:szCs w:val="22"/>
        </w:rPr>
        <w:t>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Equipment"/>
      <w:bookmarkEnd w:id="8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9" w:name="SalaryFringe"/>
      <w:bookmarkEnd w:id="9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0" w:name="Students"/>
      <w:bookmarkEnd w:id="10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702461F8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a </w:t>
      </w:r>
      <w:r w:rsidR="009D06CF">
        <w:rPr>
          <w:rFonts w:ascii="Arial" w:eastAsia="Calibri" w:hAnsi="Arial" w:cs="Arial"/>
          <w:bCs/>
          <w:sz w:val="22"/>
          <w:szCs w:val="22"/>
        </w:rPr>
        <w:t>CNR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1" w:name="Travel"/>
      <w:bookmarkStart w:id="12" w:name="OutsidePayments"/>
      <w:bookmarkEnd w:id="11"/>
      <w:bookmarkEnd w:id="12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3" w:name="UnallowedExp"/>
      <w:bookmarkEnd w:id="1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6B652BF5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The following are ineligible for support from the </w:t>
      </w:r>
      <w:r w:rsidR="00277B0D">
        <w:rPr>
          <w:rFonts w:ascii="Arial" w:eastAsia="Calibri" w:hAnsi="Arial" w:cs="Arial"/>
          <w:sz w:val="22"/>
          <w:szCs w:val="22"/>
        </w:rPr>
        <w:t>CNR</w:t>
      </w:r>
      <w:r w:rsidRPr="00F25812">
        <w:rPr>
          <w:rFonts w:ascii="Arial" w:eastAsia="Calibri" w:hAnsi="Arial" w:cs="Arial"/>
          <w:sz w:val="22"/>
          <w:szCs w:val="22"/>
        </w:rPr>
        <w:t xml:space="preserve">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02247E8C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 xml:space="preserve">Pre-award costs, i.e., any expenses incurred prior to the official start date of the </w:t>
      </w:r>
      <w:r w:rsidR="00277B0D">
        <w:rPr>
          <w:rFonts w:ascii="Arial" w:eastAsia="SymbolMT" w:hAnsi="Arial" w:cs="Arial"/>
          <w:sz w:val="22"/>
          <w:szCs w:val="22"/>
        </w:rPr>
        <w:t>CNR</w:t>
      </w:r>
      <w:r w:rsidRPr="00F33634">
        <w:rPr>
          <w:rFonts w:ascii="Arial" w:eastAsia="SymbolMT" w:hAnsi="Arial" w:cs="Arial"/>
          <w:sz w:val="22"/>
          <w:szCs w:val="22"/>
        </w:rPr>
        <w:t xml:space="preserve">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1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4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4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765699CC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r w:rsidR="00277B0D">
        <w:rPr>
          <w:rFonts w:ascii="Arial" w:eastAsia="Calibri" w:hAnsi="Arial" w:cs="Arial"/>
          <w:b/>
          <w:bCs/>
          <w:color w:val="000000"/>
          <w:sz w:val="22"/>
          <w:szCs w:val="22"/>
        </w:rPr>
        <w:t>June 2020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5" w:name="IntroductionResub"/>
      <w:bookmarkEnd w:id="15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1A2F8C6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277B0D">
        <w:rPr>
          <w:rFonts w:ascii="Arial" w:eastAsia="Calibri" w:hAnsi="Arial" w:cs="Arial"/>
          <w:b/>
          <w:bCs/>
          <w:sz w:val="22"/>
          <w:szCs w:val="22"/>
        </w:rPr>
        <w:t>2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13E8EBEE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</w:t>
      </w:r>
      <w:r w:rsidR="00277B0D">
        <w:rPr>
          <w:rFonts w:ascii="Arial" w:eastAsia="Calibri" w:hAnsi="Arial" w:cs="Arial"/>
          <w:sz w:val="22"/>
          <w:szCs w:val="22"/>
        </w:rPr>
        <w:t xml:space="preserve"> 5 graphs/figures, included in 2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39B15F7E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9D06CF">
        <w:rPr>
          <w:rFonts w:ascii="Arial" w:eastAsia="Calibri" w:hAnsi="Arial" w:cs="Arial"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</w:t>
      </w:r>
      <w:r w:rsidR="00277B0D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not be used to circumvent the 2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-page Research Proposal.  Applicants are strongly cautioned that applications exceeding p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>age limits prescribed in the CNR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12B307B4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="00966485">
        <w:rPr>
          <w:rFonts w:ascii="Arial" w:hAnsi="Arial" w:cs="Arial"/>
          <w:sz w:val="22"/>
          <w:szCs w:val="22"/>
        </w:rPr>
        <w:t>CNR</w:t>
      </w:r>
      <w:r w:rsidRPr="00F25812">
        <w:rPr>
          <w:rFonts w:ascii="Arial" w:hAnsi="Arial" w:cs="Arial"/>
          <w:sz w:val="22"/>
          <w:szCs w:val="22"/>
        </w:rPr>
        <w:t xml:space="preserve">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</w:t>
      </w:r>
      <w:r w:rsidRPr="00966485">
        <w:rPr>
          <w:rFonts w:ascii="Arial" w:hAnsi="Arial" w:cs="Arial"/>
          <w:sz w:val="22"/>
          <w:szCs w:val="22"/>
          <w:highlight w:val="yellow"/>
        </w:rPr>
        <w:t xml:space="preserve">please contact </w:t>
      </w:r>
      <w:hyperlink r:id="rId12" w:history="1">
        <w:r w:rsidR="008D3EA6" w:rsidRPr="00966485">
          <w:rPr>
            <w:rStyle w:val="Hyperlink"/>
            <w:rFonts w:ascii="Arial" w:hAnsi="Arial" w:cs="Arial"/>
            <w:sz w:val="22"/>
            <w:szCs w:val="22"/>
            <w:highlight w:val="yellow"/>
          </w:rPr>
          <w:t>Robert McNair</w:t>
        </w:r>
      </w:hyperlink>
      <w:r w:rsidRPr="00966485">
        <w:rPr>
          <w:rFonts w:ascii="Arial" w:hAnsi="Arial" w:cs="Arial"/>
          <w:sz w:val="22"/>
          <w:szCs w:val="22"/>
          <w:highlight w:val="yellow"/>
        </w:rPr>
        <w:t xml:space="preserve"> in the Office of Research Development &amp; Services.</w:t>
      </w:r>
    </w:p>
    <w:p w14:paraId="57FD963E" w14:textId="77777777" w:rsidR="00FE6B7A" w:rsidRDefault="00FE6B7A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38D3BD6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308207B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lastRenderedPageBreak/>
        <w:t>Biosketches</w:t>
      </w:r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6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6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506462F2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B0D">
        <w:rPr>
          <w:rFonts w:ascii="Arial" w:hAnsi="Arial" w:cs="Arial"/>
          <w:sz w:val="22"/>
          <w:szCs w:val="22"/>
        </w:rPr>
        <w:t>with required 5</w:t>
      </w:r>
      <w:r w:rsidR="00D4757A" w:rsidRPr="00D4757A">
        <w:rPr>
          <w:rFonts w:ascii="Arial" w:hAnsi="Arial" w:cs="Arial"/>
          <w:sz w:val="22"/>
          <w:szCs w:val="22"/>
        </w:rPr>
        <w:t xml:space="preserve">-page </w:t>
      </w:r>
      <w:r w:rsidR="00D4757A" w:rsidRPr="00310446">
        <w:rPr>
          <w:rFonts w:ascii="Arial" w:hAnsi="Arial" w:cs="Arial"/>
          <w:sz w:val="22"/>
          <w:szCs w:val="22"/>
        </w:rPr>
        <w:t>Biosketch(es),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67E637C1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mmyyyy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2B48FA">
        <w:rPr>
          <w:rFonts w:ascii="Arial" w:eastAsia="Calibri" w:hAnsi="Arial" w:cs="Arial"/>
          <w:i/>
          <w:color w:val="1F497D"/>
          <w:sz w:val="22"/>
          <w:szCs w:val="22"/>
        </w:rPr>
        <w:t>Sept</w:t>
      </w:r>
      <w:r w:rsidR="00A60966">
        <w:rPr>
          <w:rFonts w:ascii="Arial" w:eastAsia="Calibri" w:hAnsi="Arial" w:cs="Arial"/>
          <w:i/>
          <w:color w:val="1F497D"/>
          <w:sz w:val="22"/>
          <w:szCs w:val="22"/>
        </w:rPr>
        <w:t>201</w:t>
      </w:r>
      <w:r w:rsidR="002B48FA">
        <w:rPr>
          <w:rFonts w:ascii="Arial" w:eastAsia="Calibri" w:hAnsi="Arial" w:cs="Arial"/>
          <w:i/>
          <w:color w:val="1F497D"/>
          <w:sz w:val="22"/>
          <w:szCs w:val="22"/>
        </w:rPr>
        <w:t>9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19F8AE89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September 15</w:t>
      </w:r>
      <w:r w:rsidRPr="002B48FA">
        <w:rPr>
          <w:rFonts w:ascii="Arial" w:eastAsia="Calibri" w:hAnsi="Arial" w:cs="Arial"/>
          <w:color w:val="1F497D"/>
          <w:sz w:val="22"/>
          <w:szCs w:val="22"/>
          <w:vertAlign w:val="superscript"/>
        </w:rPr>
        <w:t>th</w:t>
      </w:r>
      <w:r>
        <w:rPr>
          <w:rFonts w:ascii="Arial" w:eastAsia="Calibri" w:hAnsi="Arial" w:cs="Arial"/>
          <w:color w:val="1F497D"/>
          <w:sz w:val="22"/>
          <w:szCs w:val="22"/>
        </w:rPr>
        <w:t>, 2019.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7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2EE15069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277B0D">
        <w:rPr>
          <w:rFonts w:ascii="Arial" w:eastAsia="Calibri" w:hAnsi="Arial" w:cs="Arial"/>
          <w:color w:val="000000"/>
          <w:sz w:val="22"/>
          <w:szCs w:val="22"/>
        </w:rPr>
        <w:t>Center for Neuroscience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40925D2B" w:rsidR="008A20C7" w:rsidRP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9D06CF">
        <w:rPr>
          <w:rFonts w:ascii="Arial" w:eastAsia="Calibri" w:hAnsi="Arial" w:cs="Arial"/>
          <w:color w:val="000000"/>
          <w:sz w:val="22"/>
          <w:szCs w:val="22"/>
        </w:rPr>
        <w:t>CNR</w:t>
      </w:r>
      <w:r w:rsidR="009D06CF"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P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4A0D0507" w:rsidR="008A20C7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20C7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s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r w:rsidR="009D06CF">
        <w:rPr>
          <w:rFonts w:ascii="Arial" w:eastAsia="Calibri" w:hAnsi="Arial" w:cs="Arial"/>
          <w:color w:val="000000"/>
          <w:sz w:val="22"/>
          <w:szCs w:val="22"/>
        </w:rPr>
        <w:t>Researh Committee</w:t>
      </w:r>
      <w:r w:rsidRPr="008A20C7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</w:p>
    <w:p w14:paraId="6B584A36" w14:textId="77777777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The Council appointed by the VP for Research makes final recommendations for funding to the Office of the President.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8" w:name="Terms"/>
      <w:bookmarkStart w:id="19" w:name="FAQs"/>
      <w:bookmarkEnd w:id="18"/>
      <w:bookmarkEnd w:id="19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794D5241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Center for 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26599169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CNR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552C1E1E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CNR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188C4EDA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9D06CF">
        <w:rPr>
          <w:rFonts w:ascii="Arial" w:eastAsia="Calibri" w:hAnsi="Arial" w:cs="Arial"/>
          <w:iCs/>
          <w:sz w:val="22"/>
          <w:szCs w:val="22"/>
        </w:rPr>
        <w:t>CNR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F1A0" w14:textId="77777777" w:rsidR="00030EF5" w:rsidRPr="00646D00" w:rsidRDefault="00030EF5" w:rsidP="00646D00">
      <w:r>
        <w:separator/>
      </w:r>
    </w:p>
  </w:endnote>
  <w:endnote w:type="continuationSeparator" w:id="0">
    <w:p w14:paraId="71C3618A" w14:textId="77777777" w:rsidR="00030EF5" w:rsidRPr="00646D00" w:rsidRDefault="00030EF5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ED6B" w14:textId="5ED0769B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E8D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NyIgIAADsEAAAOAAAAZHJzL2Uyb0RvYy54bWysU9uO2yAQfa/Uf0C8J7ZTJ5t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" strokecolor="#1f497d"/>
          </w:pict>
        </mc:Fallback>
      </mc:AlternateContent>
    </w:r>
    <w:r w:rsidR="00A34CD0">
      <w:rPr>
        <w:rFonts w:ascii="Arial" w:hAnsi="Arial" w:cs="Arial"/>
        <w:color w:val="1F497D"/>
        <w:sz w:val="28"/>
        <w:szCs w:val="28"/>
        <w:vertAlign w:val="subscript"/>
      </w:rPr>
      <w:t>CNR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r w:rsidR="00277B0D">
      <w:rPr>
        <w:rFonts w:ascii="Arial" w:hAnsi="Arial" w:cs="Arial"/>
        <w:color w:val="1F497D"/>
        <w:sz w:val="28"/>
        <w:szCs w:val="28"/>
        <w:vertAlign w:val="subscript"/>
      </w:rPr>
      <w:t>March 2020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DE220E">
      <w:rPr>
        <w:rFonts w:ascii="Arial" w:hAnsi="Arial" w:cs="Arial"/>
        <w:noProof/>
        <w:color w:val="1F497D"/>
        <w:sz w:val="28"/>
        <w:szCs w:val="28"/>
        <w:vertAlign w:val="subscript"/>
      </w:rPr>
      <w:t>1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DE220E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F84B" w14:textId="77777777" w:rsidR="00030EF5" w:rsidRPr="00646D00" w:rsidRDefault="00030EF5" w:rsidP="00646D00">
      <w:r>
        <w:separator/>
      </w:r>
    </w:p>
  </w:footnote>
  <w:footnote w:type="continuationSeparator" w:id="0">
    <w:p w14:paraId="2207DB8C" w14:textId="77777777" w:rsidR="00030EF5" w:rsidRPr="00646D00" w:rsidRDefault="00030EF5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29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37"/>
  </w:num>
  <w:num w:numId="10">
    <w:abstractNumId w:val="34"/>
  </w:num>
  <w:num w:numId="11">
    <w:abstractNumId w:val="1"/>
  </w:num>
  <w:num w:numId="12">
    <w:abstractNumId w:val="8"/>
  </w:num>
  <w:num w:numId="13">
    <w:abstractNumId w:val="36"/>
  </w:num>
  <w:num w:numId="14">
    <w:abstractNumId w:val="2"/>
  </w:num>
  <w:num w:numId="15">
    <w:abstractNumId w:val="10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4"/>
  </w:num>
  <w:num w:numId="21">
    <w:abstractNumId w:val="27"/>
  </w:num>
  <w:num w:numId="22">
    <w:abstractNumId w:val="21"/>
  </w:num>
  <w:num w:numId="23">
    <w:abstractNumId w:val="20"/>
  </w:num>
  <w:num w:numId="24">
    <w:abstractNumId w:val="5"/>
  </w:num>
  <w:num w:numId="25">
    <w:abstractNumId w:val="16"/>
  </w:num>
  <w:num w:numId="26">
    <w:abstractNumId w:val="17"/>
  </w:num>
  <w:num w:numId="27">
    <w:abstractNumId w:val="13"/>
  </w:num>
  <w:num w:numId="28">
    <w:abstractNumId w:val="3"/>
  </w:num>
  <w:num w:numId="29">
    <w:abstractNumId w:val="31"/>
  </w:num>
  <w:num w:numId="30">
    <w:abstractNumId w:val="26"/>
  </w:num>
  <w:num w:numId="31">
    <w:abstractNumId w:val="15"/>
  </w:num>
  <w:num w:numId="32">
    <w:abstractNumId w:val="11"/>
  </w:num>
  <w:num w:numId="33">
    <w:abstractNumId w:val="19"/>
  </w:num>
  <w:num w:numId="34">
    <w:abstractNumId w:val="23"/>
  </w:num>
  <w:num w:numId="35">
    <w:abstractNumId w:val="33"/>
  </w:num>
  <w:num w:numId="36">
    <w:abstractNumId w:val="32"/>
  </w:num>
  <w:num w:numId="37">
    <w:abstractNumId w:val="35"/>
  </w:num>
  <w:num w:numId="3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0EF5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03AC"/>
    <w:rsid w:val="00122777"/>
    <w:rsid w:val="00135C94"/>
    <w:rsid w:val="00153EA0"/>
    <w:rsid w:val="00154A04"/>
    <w:rsid w:val="00162E6F"/>
    <w:rsid w:val="0018699C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61C41"/>
    <w:rsid w:val="0026271B"/>
    <w:rsid w:val="00270620"/>
    <w:rsid w:val="00277B0D"/>
    <w:rsid w:val="00281F64"/>
    <w:rsid w:val="002851A1"/>
    <w:rsid w:val="002B48FA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355F"/>
    <w:rsid w:val="00370073"/>
    <w:rsid w:val="0038416E"/>
    <w:rsid w:val="00396FE8"/>
    <w:rsid w:val="003A2793"/>
    <w:rsid w:val="003A3DB6"/>
    <w:rsid w:val="003B4FF4"/>
    <w:rsid w:val="003F1AFB"/>
    <w:rsid w:val="003F2377"/>
    <w:rsid w:val="003F2703"/>
    <w:rsid w:val="003F2B66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4536"/>
    <w:rsid w:val="00447411"/>
    <w:rsid w:val="00447D55"/>
    <w:rsid w:val="00454792"/>
    <w:rsid w:val="00461071"/>
    <w:rsid w:val="004676BC"/>
    <w:rsid w:val="00471B4D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17894"/>
    <w:rsid w:val="00524BE8"/>
    <w:rsid w:val="00527692"/>
    <w:rsid w:val="00544EE5"/>
    <w:rsid w:val="005703DD"/>
    <w:rsid w:val="005752CD"/>
    <w:rsid w:val="00591957"/>
    <w:rsid w:val="00592D57"/>
    <w:rsid w:val="00595177"/>
    <w:rsid w:val="005978B8"/>
    <w:rsid w:val="005A4BBF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21F86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B7C68"/>
    <w:rsid w:val="006C2635"/>
    <w:rsid w:val="006C2750"/>
    <w:rsid w:val="006D2988"/>
    <w:rsid w:val="006D347F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3885"/>
    <w:rsid w:val="0077549D"/>
    <w:rsid w:val="00781292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33339"/>
    <w:rsid w:val="00837D57"/>
    <w:rsid w:val="0084730A"/>
    <w:rsid w:val="00861D68"/>
    <w:rsid w:val="0087090C"/>
    <w:rsid w:val="00872DF9"/>
    <w:rsid w:val="00873A1C"/>
    <w:rsid w:val="00877AD0"/>
    <w:rsid w:val="00890245"/>
    <w:rsid w:val="00892451"/>
    <w:rsid w:val="008A20C7"/>
    <w:rsid w:val="008A2DC3"/>
    <w:rsid w:val="008B14EA"/>
    <w:rsid w:val="008C1FA2"/>
    <w:rsid w:val="008D17A3"/>
    <w:rsid w:val="008D3EA6"/>
    <w:rsid w:val="008E6425"/>
    <w:rsid w:val="008E7A4C"/>
    <w:rsid w:val="008F0C39"/>
    <w:rsid w:val="008F1D42"/>
    <w:rsid w:val="008F254A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66485"/>
    <w:rsid w:val="00974633"/>
    <w:rsid w:val="00974FFC"/>
    <w:rsid w:val="00975CC8"/>
    <w:rsid w:val="00983730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33137"/>
    <w:rsid w:val="00A34CD0"/>
    <w:rsid w:val="00A508B3"/>
    <w:rsid w:val="00A60966"/>
    <w:rsid w:val="00A70CC4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76D1"/>
    <w:rsid w:val="00B374AF"/>
    <w:rsid w:val="00B52BB0"/>
    <w:rsid w:val="00B62256"/>
    <w:rsid w:val="00B820BC"/>
    <w:rsid w:val="00B94571"/>
    <w:rsid w:val="00BA1506"/>
    <w:rsid w:val="00BA1B9B"/>
    <w:rsid w:val="00BA6577"/>
    <w:rsid w:val="00BB7553"/>
    <w:rsid w:val="00BE02E3"/>
    <w:rsid w:val="00BE2E2C"/>
    <w:rsid w:val="00BE7377"/>
    <w:rsid w:val="00BF6592"/>
    <w:rsid w:val="00C159DF"/>
    <w:rsid w:val="00C2390D"/>
    <w:rsid w:val="00C23C3B"/>
    <w:rsid w:val="00C3116C"/>
    <w:rsid w:val="00C320CB"/>
    <w:rsid w:val="00C3423D"/>
    <w:rsid w:val="00C35430"/>
    <w:rsid w:val="00C35F59"/>
    <w:rsid w:val="00C3765C"/>
    <w:rsid w:val="00C417EE"/>
    <w:rsid w:val="00C41CFA"/>
    <w:rsid w:val="00C46A6E"/>
    <w:rsid w:val="00C54385"/>
    <w:rsid w:val="00C6432C"/>
    <w:rsid w:val="00C8385F"/>
    <w:rsid w:val="00C843C5"/>
    <w:rsid w:val="00C9236A"/>
    <w:rsid w:val="00C92908"/>
    <w:rsid w:val="00C93DCD"/>
    <w:rsid w:val="00CA011E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CF74A2"/>
    <w:rsid w:val="00D05EC2"/>
    <w:rsid w:val="00D25C3F"/>
    <w:rsid w:val="00D32C55"/>
    <w:rsid w:val="00D33BDB"/>
    <w:rsid w:val="00D4757A"/>
    <w:rsid w:val="00D5315F"/>
    <w:rsid w:val="00D60AD6"/>
    <w:rsid w:val="00D64AD5"/>
    <w:rsid w:val="00D91903"/>
    <w:rsid w:val="00D93617"/>
    <w:rsid w:val="00DA711A"/>
    <w:rsid w:val="00DB47CB"/>
    <w:rsid w:val="00DC2502"/>
    <w:rsid w:val="00DD0E6A"/>
    <w:rsid w:val="00DD1CC8"/>
    <w:rsid w:val="00DD31BC"/>
    <w:rsid w:val="00DD4CDE"/>
    <w:rsid w:val="00DE220E"/>
    <w:rsid w:val="00DE2781"/>
    <w:rsid w:val="00DF1815"/>
    <w:rsid w:val="00DF7204"/>
    <w:rsid w:val="00DF79C2"/>
    <w:rsid w:val="00E0440A"/>
    <w:rsid w:val="00E12641"/>
    <w:rsid w:val="00E2029F"/>
    <w:rsid w:val="00E278EA"/>
    <w:rsid w:val="00E313D4"/>
    <w:rsid w:val="00E337A3"/>
    <w:rsid w:val="00E512BA"/>
    <w:rsid w:val="00E616DA"/>
    <w:rsid w:val="00E665A5"/>
    <w:rsid w:val="00E67952"/>
    <w:rsid w:val="00E74BA6"/>
    <w:rsid w:val="00E75E3E"/>
    <w:rsid w:val="00E80246"/>
    <w:rsid w:val="00E91195"/>
    <w:rsid w:val="00E96E26"/>
    <w:rsid w:val="00EA6572"/>
    <w:rsid w:val="00EB0DF9"/>
    <w:rsid w:val="00EC17E7"/>
    <w:rsid w:val="00EC392F"/>
    <w:rsid w:val="00ED228E"/>
    <w:rsid w:val="00ED4552"/>
    <w:rsid w:val="00ED5AA8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3E9C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4878A"/>
  <w15:docId w15:val="{68618A94-EB7C-488F-A9DD-575FFFD3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.mcnair@sl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u.edu/division-of-research-administration-home/office-of-sponsored-programs-administration-%28osp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.edu/busfin/departments/business-servic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C3C5-165F-43A7-84EC-712D4A21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0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10268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Angie Coleman</cp:lastModifiedBy>
  <cp:revision>2</cp:revision>
  <cp:lastPrinted>2016-09-15T14:10:00Z</cp:lastPrinted>
  <dcterms:created xsi:type="dcterms:W3CDTF">2020-04-24T16:26:00Z</dcterms:created>
  <dcterms:modified xsi:type="dcterms:W3CDTF">2020-04-24T16:26:00Z</dcterms:modified>
</cp:coreProperties>
</file>